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cs="Times New Roman"/>
          <w:lang w:val="en-US"/>
        </w:rPr>
      </w:pPr>
      <w:r>
        <w:rPr>
          <w:rFonts w:ascii="Times New Roman" w:hAnsi="Times New Roman" w:cs="Times New Roman"/>
          <w:lang w:val="en-US"/>
        </w:rPr>
        <w:t xml:space="preserve"> </w:t>
      </w:r>
    </w:p>
    <w:p>
      <w:pPr>
        <w:pStyle w:val="7"/>
        <w:spacing w:before="4"/>
        <w:ind w:left="420" w:leftChars="200"/>
        <w:rPr>
          <w:rFonts w:ascii="Times New Roman" w:hAnsi="Times New Roman" w:cs="Times New Roman"/>
          <w:sz w:val="17"/>
        </w:rPr>
      </w:pPr>
    </w:p>
    <w:p>
      <w:pPr>
        <w:pStyle w:val="7"/>
        <w:spacing w:before="4"/>
        <w:ind w:left="420" w:leftChars="200"/>
        <w:rPr>
          <w:rFonts w:ascii="Times New Roman" w:hAnsi="Times New Roman" w:cs="Times New Roman"/>
          <w:sz w:val="17"/>
        </w:rPr>
      </w:pPr>
    </w:p>
    <w:p>
      <w:pPr>
        <w:pStyle w:val="7"/>
        <w:spacing w:before="4"/>
        <w:ind w:left="420" w:leftChars="200"/>
        <w:rPr>
          <w:rFonts w:hint="eastAsia" w:ascii="Times New Roman" w:hAnsi="Times New Roman" w:cs="Times New Roman"/>
          <w:sz w:val="17"/>
        </w:rPr>
      </w:pPr>
    </w:p>
    <w:p>
      <w:pPr>
        <w:pStyle w:val="7"/>
        <w:spacing w:before="4"/>
        <w:ind w:left="420" w:leftChars="200"/>
        <w:rPr>
          <w:rFonts w:ascii="Times New Roman" w:hAnsi="Times New Roman" w:cs="Times New Roman"/>
          <w:sz w:val="17"/>
        </w:rPr>
      </w:pPr>
    </w:p>
    <w:p>
      <w:pPr>
        <w:pStyle w:val="7"/>
        <w:spacing w:before="4"/>
        <w:ind w:left="420" w:leftChars="200"/>
        <w:rPr>
          <w:rFonts w:ascii="Times New Roman" w:hAnsi="Times New Roman" w:cs="Times New Roman"/>
          <w:sz w:val="16"/>
          <w:szCs w:val="16"/>
          <w:lang w:val="en-US"/>
        </w:rPr>
      </w:pPr>
      <w:r>
        <w:rPr>
          <w:rFonts w:hint="eastAsia" w:ascii="Times New Roman" w:hAnsi="Times New Roman" w:cs="Times New Roman"/>
          <w:sz w:val="17"/>
        </w:rPr>
        <w:drawing>
          <wp:anchor distT="0" distB="0" distL="114300" distR="114300" simplePos="0" relativeHeight="251669504" behindDoc="0" locked="0" layoutInCell="1" allowOverlap="1">
            <wp:simplePos x="0" y="0"/>
            <wp:positionH relativeFrom="column">
              <wp:posOffset>2842895</wp:posOffset>
            </wp:positionH>
            <wp:positionV relativeFrom="paragraph">
              <wp:posOffset>15875</wp:posOffset>
            </wp:positionV>
            <wp:extent cx="1954530" cy="1941830"/>
            <wp:effectExtent l="0" t="0" r="7620" b="1270"/>
            <wp:wrapSquare wrapText="bothSides"/>
            <wp:docPr id="51" name="图片 2" descr="应工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应工校徽"/>
                    <pic:cNvPicPr>
                      <a:picLocks noChangeAspect="1"/>
                    </pic:cNvPicPr>
                  </pic:nvPicPr>
                  <pic:blipFill>
                    <a:blip r:embed="rId5"/>
                    <a:srcRect r="9274" b="5664"/>
                    <a:stretch>
                      <a:fillRect/>
                    </a:stretch>
                  </pic:blipFill>
                  <pic:spPr>
                    <a:xfrm>
                      <a:off x="0" y="0"/>
                      <a:ext cx="1954530" cy="1941830"/>
                    </a:xfrm>
                    <a:prstGeom prst="rect">
                      <a:avLst/>
                    </a:prstGeom>
                    <a:noFill/>
                    <a:ln>
                      <a:noFill/>
                    </a:ln>
                  </pic:spPr>
                </pic:pic>
              </a:graphicData>
            </a:graphic>
          </wp:anchor>
        </w:drawing>
      </w:r>
      <w:r>
        <w:rPr>
          <w:rFonts w:ascii="Times New Roman" w:hAnsi="Times New Roman" w:cs="Times New Roman"/>
          <w:sz w:val="17"/>
          <w:lang w:val="en-US"/>
        </w:rPr>
        <w:t xml:space="preserve"> </w:t>
      </w:r>
    </w:p>
    <w:p>
      <w:pPr>
        <w:pStyle w:val="7"/>
        <w:spacing w:before="4"/>
        <w:ind w:left="420" w:leftChars="200"/>
        <w:rPr>
          <w:rFonts w:ascii="Times New Roman" w:hAnsi="Times New Roman" w:cs="Times New Roman"/>
          <w:sz w:val="17"/>
          <w:lang w:val="en-US"/>
        </w:rPr>
      </w:pPr>
    </w:p>
    <w:p>
      <w:pPr>
        <w:pStyle w:val="7"/>
        <w:spacing w:before="4"/>
        <w:ind w:left="420" w:leftChars="200"/>
        <w:rPr>
          <w:rFonts w:ascii="Times New Roman" w:hAnsi="Times New Roman" w:cs="Times New Roman"/>
          <w:sz w:val="17"/>
        </w:rPr>
      </w:pPr>
    </w:p>
    <w:p>
      <w:pPr>
        <w:pStyle w:val="7"/>
        <w:spacing w:before="4"/>
        <w:ind w:left="420" w:leftChars="200"/>
        <w:rPr>
          <w:rFonts w:ascii="Times New Roman" w:hAnsi="Times New Roman" w:cs="Times New Roman"/>
          <w:sz w:val="17"/>
        </w:rPr>
      </w:pPr>
    </w:p>
    <w:p>
      <w:pPr>
        <w:pStyle w:val="7"/>
        <w:spacing w:before="4"/>
        <w:ind w:left="420" w:leftChars="200"/>
        <w:rPr>
          <w:rFonts w:ascii="Times New Roman" w:hAnsi="Times New Roman" w:cs="Times New Roman"/>
          <w:sz w:val="17"/>
        </w:rPr>
      </w:pPr>
    </w:p>
    <w:p>
      <w:pPr>
        <w:pStyle w:val="7"/>
        <w:spacing w:before="4"/>
        <w:ind w:left="420" w:leftChars="200"/>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widowControl/>
        <w:spacing w:line="240" w:lineRule="auto"/>
        <w:jc w:val="center"/>
        <w:outlineLvl w:val="2"/>
        <w:rPr>
          <w:rFonts w:hint="eastAsia" w:ascii="方正小标宋简体" w:hAnsi="宋体" w:eastAsia="方正小标宋简体" w:cs="宋体"/>
          <w:b w:val="0"/>
          <w:bCs w:val="0"/>
          <w:color w:val="333333"/>
          <w:kern w:val="0"/>
          <w:sz w:val="36"/>
          <w:szCs w:val="36"/>
          <w:lang w:val="en-US" w:eastAsia="zh-CN"/>
        </w:rPr>
      </w:pPr>
      <w:r>
        <w:rPr>
          <w:rFonts w:hint="eastAsia" w:ascii="方正小标宋简体" w:hAnsi="宋体" w:eastAsia="方正小标宋简体" w:cs="宋体"/>
          <w:b/>
          <w:bCs/>
          <w:color w:val="333333"/>
          <w:kern w:val="0"/>
          <w:sz w:val="72"/>
          <w:szCs w:val="72"/>
        </w:rPr>
        <w:t>202</w:t>
      </w:r>
      <w:r>
        <w:rPr>
          <w:rFonts w:hint="eastAsia" w:ascii="方正小标宋简体" w:hAnsi="宋体" w:eastAsia="方正小标宋简体" w:cs="宋体"/>
          <w:b/>
          <w:bCs/>
          <w:color w:val="333333"/>
          <w:kern w:val="0"/>
          <w:sz w:val="72"/>
          <w:szCs w:val="72"/>
          <w:lang w:val="en-US" w:eastAsia="zh-CN"/>
        </w:rPr>
        <w:t>2</w:t>
      </w:r>
      <w:r>
        <w:rPr>
          <w:rFonts w:hint="eastAsia" w:ascii="方正小标宋简体" w:hAnsi="宋体" w:eastAsia="方正小标宋简体" w:cs="宋体"/>
          <w:b/>
          <w:bCs/>
          <w:color w:val="333333"/>
          <w:kern w:val="0"/>
          <w:sz w:val="72"/>
          <w:szCs w:val="72"/>
        </w:rPr>
        <w:t>教育质量年度报告</w:t>
      </w:r>
    </w:p>
    <w:p>
      <w:pPr>
        <w:pStyle w:val="7"/>
        <w:spacing w:before="4"/>
        <w:ind w:left="420" w:leftChars="200"/>
        <w:rPr>
          <w:rFonts w:ascii="Times New Roman" w:hAnsi="Times New Roman" w:cs="Times New Roman"/>
          <w:sz w:val="17"/>
        </w:rPr>
      </w:pPr>
      <w:r>
        <w:rPr>
          <w:rFonts w:hint="eastAsia" w:ascii="方正小标宋简体" w:hAnsi="宋体" w:eastAsia="方正小标宋简体" w:cs="宋体"/>
          <w:b w:val="0"/>
          <w:bCs w:val="0"/>
          <w:color w:val="333333"/>
          <w:kern w:val="0"/>
          <w:sz w:val="44"/>
          <w:szCs w:val="44"/>
          <w:lang w:val="en-US" w:eastAsia="zh-CN"/>
        </w:rPr>
        <w:t xml:space="preserve"> </w:t>
      </w:r>
    </w:p>
    <w:p>
      <w:pPr>
        <w:pStyle w:val="7"/>
        <w:spacing w:before="4"/>
        <w:ind w:left="420" w:leftChars="200"/>
        <w:rPr>
          <w:rFonts w:ascii="Times New Roman" w:hAnsi="Times New Roman" w:cs="Times New Roman"/>
          <w:sz w:val="17"/>
        </w:rPr>
      </w:pPr>
      <w:r>
        <w:drawing>
          <wp:anchor distT="0" distB="0" distL="114300" distR="114300" simplePos="0" relativeHeight="251668480" behindDoc="0" locked="0" layoutInCell="1" allowOverlap="1">
            <wp:simplePos x="0" y="0"/>
            <wp:positionH relativeFrom="margin">
              <wp:posOffset>-42545</wp:posOffset>
            </wp:positionH>
            <wp:positionV relativeFrom="margin">
              <wp:posOffset>4161155</wp:posOffset>
            </wp:positionV>
            <wp:extent cx="7695565" cy="3528695"/>
            <wp:effectExtent l="0" t="0" r="635" b="14605"/>
            <wp:wrapSquare wrapText="bothSides"/>
            <wp:docPr id="50" name="图片 3" descr="微信图片_2022011416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微信图片_20220114165619"/>
                    <pic:cNvPicPr>
                      <a:picLocks noChangeAspect="1"/>
                    </pic:cNvPicPr>
                  </pic:nvPicPr>
                  <pic:blipFill>
                    <a:blip r:embed="rId6"/>
                    <a:stretch>
                      <a:fillRect/>
                    </a:stretch>
                  </pic:blipFill>
                  <pic:spPr>
                    <a:xfrm>
                      <a:off x="0" y="0"/>
                      <a:ext cx="7695565" cy="3528695"/>
                    </a:xfrm>
                    <a:prstGeom prst="rect">
                      <a:avLst/>
                    </a:prstGeom>
                    <a:noFill/>
                    <a:ln>
                      <a:noFill/>
                    </a:ln>
                  </pic:spPr>
                </pic:pic>
              </a:graphicData>
            </a:graphic>
          </wp:anchor>
        </w:drawing>
      </w: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rPr>
          <w:rFonts w:ascii="Times New Roman" w:hAnsi="Times New Roman" w:cs="Times New Roman"/>
          <w:sz w:val="17"/>
        </w:rPr>
      </w:pPr>
    </w:p>
    <w:p>
      <w:pPr>
        <w:pStyle w:val="7"/>
        <w:spacing w:before="4" w:line="360" w:lineRule="auto"/>
        <w:ind w:left="420" w:leftChars="200"/>
        <w:jc w:val="center"/>
        <w:rPr>
          <w:rFonts w:hint="default" w:ascii="Times New Roman" w:hAnsi="Times New Roman" w:eastAsia="微软雅黑" w:cs="Times New Roman"/>
          <w:color w:val="auto"/>
          <w:sz w:val="36"/>
          <w:szCs w:val="36"/>
          <w:lang w:val="en-US"/>
        </w:rPr>
        <w:sectPr>
          <w:pgSz w:w="11910" w:h="16840"/>
          <w:pgMar w:top="340" w:right="0" w:bottom="280" w:left="0" w:header="720" w:footer="720" w:gutter="0"/>
          <w:pgBorders w:offsetFrom="page">
            <w:top w:val="none" w:sz="0" w:space="0"/>
            <w:left w:val="none" w:sz="0" w:space="0"/>
            <w:bottom w:val="none" w:sz="0" w:space="0"/>
            <w:right w:val="none" w:sz="0" w:space="0"/>
          </w:pgBorders>
          <w:cols w:space="720" w:num="1"/>
        </w:sectPr>
      </w:pPr>
      <w:r>
        <w:rPr>
          <w:rFonts w:ascii="Times New Roman" w:hAnsi="Times New Roman" w:eastAsia="微软雅黑" w:cs="Times New Roman"/>
          <w:color w:val="auto"/>
          <w:sz w:val="36"/>
          <w:szCs w:val="36"/>
          <w:lang w:val="en-US"/>
        </w:rPr>
        <mc:AlternateContent>
          <mc:Choice Requires="wps">
            <w:drawing>
              <wp:anchor distT="0" distB="0" distL="114300" distR="114300" simplePos="0" relativeHeight="251664384" behindDoc="0" locked="0" layoutInCell="1" allowOverlap="1">
                <wp:simplePos x="0" y="0"/>
                <wp:positionH relativeFrom="column">
                  <wp:posOffset>312420</wp:posOffset>
                </wp:positionH>
                <wp:positionV relativeFrom="paragraph">
                  <wp:posOffset>6399530</wp:posOffset>
                </wp:positionV>
                <wp:extent cx="2345690" cy="69215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2345690" cy="692150"/>
                        </a:xfrm>
                        <a:prstGeom prst="rect">
                          <a:avLst/>
                        </a:prstGeom>
                        <a:noFill/>
                        <a:ln w="6350">
                          <a:noFill/>
                        </a:ln>
                        <a:effectLst/>
                      </wps:spPr>
                      <wps:txbx>
                        <w:txbxContent>
                          <w:p>
                            <w:pPr>
                              <w:jc w:val="center"/>
                              <w:rPr>
                                <w:rFonts w:ascii="微软雅黑" w:hAnsi="微软雅黑" w:eastAsia="微软雅黑" w:cs="微软雅黑"/>
                                <w:color w:val="000000"/>
                                <w:sz w:val="40"/>
                                <w:szCs w:val="40"/>
                                <w:lang w:val="en-US"/>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4.6pt;margin-top:503.9pt;height:54.5pt;width:184.7pt;z-index:251664384;mso-width-relative:page;mso-height-relative:page;" filled="f" stroked="f" coordsize="21600,21600" o:gfxdata="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5RhLL2wAAAAwBAAAPAAAAAAAA&#10;AAEAIAAAACIAAABkcnMvZG93bnJldi54bWxQSwECFAAUAAAACACHTuJAtGNnz0gCAACCBAAADgAA&#10;AAAAAAABACAAAAAqAQAAZHJzL2Uyb0RvYy54bWxQSwUGAAAAAAYABgBZAQAA5AUAAAAA&#10;">
                <v:fill on="f" focussize="0,0"/>
                <v:stroke on="f" weight="0.5pt"/>
                <v:imagedata o:title=""/>
                <o:lock v:ext="edit" aspectratio="f"/>
                <v:textbox>
                  <w:txbxContent>
                    <w:p>
                      <w:pPr>
                        <w:jc w:val="center"/>
                        <w:rPr>
                          <w:rFonts w:ascii="微软雅黑" w:hAnsi="微软雅黑" w:eastAsia="微软雅黑" w:cs="微软雅黑"/>
                          <w:color w:val="000000"/>
                          <w:sz w:val="40"/>
                          <w:szCs w:val="40"/>
                          <w:lang w:val="en-US"/>
                        </w:rPr>
                      </w:pPr>
                    </w:p>
                  </w:txbxContent>
                </v:textbox>
              </v:shape>
            </w:pict>
          </mc:Fallback>
        </mc:AlternateContent>
      </w:r>
      <w:r>
        <w:rPr>
          <w:rFonts w:ascii="Times New Roman" w:hAnsi="Times New Roman" w:eastAsia="微软雅黑" w:cs="Times New Roman"/>
          <w:color w:val="auto"/>
          <w:sz w:val="36"/>
          <w:szCs w:val="36"/>
          <w:lang w:val="en-US"/>
        </w:rPr>
        <mc:AlternateContent>
          <mc:Choice Requires="wps">
            <w:drawing>
              <wp:anchor distT="0" distB="0" distL="114300" distR="114300" simplePos="0" relativeHeight="251665408" behindDoc="0" locked="0" layoutInCell="1" allowOverlap="1">
                <wp:simplePos x="0" y="0"/>
                <wp:positionH relativeFrom="column">
                  <wp:posOffset>574040</wp:posOffset>
                </wp:positionH>
                <wp:positionV relativeFrom="paragraph">
                  <wp:posOffset>5418455</wp:posOffset>
                </wp:positionV>
                <wp:extent cx="4400550" cy="48323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5962650" cy="483235"/>
                        </a:xfrm>
                        <a:prstGeom prst="rect">
                          <a:avLst/>
                        </a:prstGeom>
                        <a:noFill/>
                        <a:ln w="6350">
                          <a:noFill/>
                        </a:ln>
                        <a:effectLst/>
                      </wps:spPr>
                      <wps:txbx>
                        <w:txbxContent>
                          <w:p>
                            <w:pPr>
                              <w:jc w:val="both"/>
                              <w:rPr>
                                <w:rFonts w:ascii="微软雅黑" w:hAnsi="微软雅黑" w:eastAsia="微软雅黑" w:cs="微软雅黑"/>
                                <w:color w:val="7E7E7E"/>
                                <w:sz w:val="24"/>
                                <w:szCs w:val="24"/>
                                <w:lang w:val="en-US"/>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5.2pt;margin-top:426.65pt;height:38.05pt;width:346.5pt;z-index:251665408;mso-width-relative:page;mso-height-relative:page;" filled="f" stroked="f" coordsize="21600,21600" o:gfxdata="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Q9T4jbAAAACgEAAA8AAAAAAAAA&#10;AQAgAAAAIgAAAGRycy9kb3ducmV2LnhtbFBLAQIUABQAAAAIAIdO4kAO7c+8RwIAAIIEAAAOAAAA&#10;AAAAAAEAIAAAACoBAABkcnMvZTJvRG9jLnhtbFBLBQYAAAAABgAGAFkBAADjBQAAAAA=&#10;">
                <v:fill on="f" focussize="0,0"/>
                <v:stroke on="f" weight="0.5pt"/>
                <v:imagedata o:title=""/>
                <o:lock v:ext="edit" aspectratio="f"/>
                <v:textbox>
                  <w:txbxContent>
                    <w:p>
                      <w:pPr>
                        <w:jc w:val="both"/>
                        <w:rPr>
                          <w:rFonts w:ascii="微软雅黑" w:hAnsi="微软雅黑" w:eastAsia="微软雅黑" w:cs="微软雅黑"/>
                          <w:color w:val="7E7E7E"/>
                          <w:sz w:val="24"/>
                          <w:szCs w:val="24"/>
                          <w:lang w:val="en-US"/>
                        </w:rPr>
                      </w:pPr>
                    </w:p>
                  </w:txbxContent>
                </v:textbox>
              </v:shape>
            </w:pict>
          </mc:Fallback>
        </mc:AlternateContent>
      </w:r>
      <w:r>
        <w:rPr>
          <w:rFonts w:ascii="Times New Roman" w:hAnsi="Times New Roman" w:eastAsia="微软雅黑" w:cs="Times New Roman"/>
          <w:color w:val="auto"/>
          <w:sz w:val="36"/>
          <w:szCs w:val="36"/>
          <w:lang w:val="en-US"/>
        </w:rPr>
        <mc:AlternateContent>
          <mc:Choice Requires="wps">
            <w:drawing>
              <wp:anchor distT="0" distB="0" distL="114300" distR="114300" simplePos="0" relativeHeight="251666432" behindDoc="0" locked="0" layoutInCell="1" allowOverlap="1">
                <wp:simplePos x="0" y="0"/>
                <wp:positionH relativeFrom="column">
                  <wp:posOffset>4837430</wp:posOffset>
                </wp:positionH>
                <wp:positionV relativeFrom="paragraph">
                  <wp:posOffset>8410575</wp:posOffset>
                </wp:positionV>
                <wp:extent cx="1758950" cy="45148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2345690" cy="459105"/>
                        </a:xfrm>
                        <a:prstGeom prst="rect">
                          <a:avLst/>
                        </a:prstGeom>
                        <a:noFill/>
                        <a:ln w="6350">
                          <a:noFill/>
                        </a:ln>
                        <a:effectLst/>
                      </wps:spPr>
                      <wps:txbx>
                        <w:txbxContent>
                          <w:p>
                            <w:pPr>
                              <w:jc w:val="right"/>
                              <w:rPr>
                                <w:rFonts w:ascii="微软雅黑" w:hAnsi="微软雅黑" w:eastAsia="微软雅黑" w:cs="微软雅黑"/>
                                <w:color w:val="252525"/>
                                <w:sz w:val="32"/>
                                <w:szCs w:val="32"/>
                                <w:lang w:val="en-US"/>
                              </w:rPr>
                            </w:pPr>
                            <w:r>
                              <w:rPr>
                                <w:rFonts w:hint="eastAsia" w:ascii="微软雅黑" w:hAnsi="微软雅黑" w:eastAsia="微软雅黑" w:cs="微软雅黑"/>
                                <w:color w:val="252525"/>
                                <w:sz w:val="32"/>
                                <w:szCs w:val="32"/>
                                <w:lang w:val="en-US"/>
                              </w:rPr>
                              <w:t xml:space="preserve">  江西●南昌</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80.9pt;margin-top:662.25pt;height:35.55pt;width:138.5pt;z-index:251666432;mso-width-relative:page;mso-height-relative:page;" filled="f" stroked="f" coordsize="21600,21600" o:gfxdata="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FMt1vcAAAADgEAAA8AAAAA&#10;AAAAAQAgAAAAIgAAAGRycy9kb3ducmV2LnhtbFBLAQIUABQAAAAIAIdO4kAoiNNpSQIAAIIEAAAO&#10;AAAAAAAAAAEAIAAAACsBAABkcnMvZTJvRG9jLnhtbFBLBQYAAAAABgAGAFkBAADmBQAAAAA=&#10;">
                <v:fill on="f" focussize="0,0"/>
                <v:stroke on="f" weight="0.5pt"/>
                <v:imagedata o:title=""/>
                <o:lock v:ext="edit" aspectratio="f"/>
                <v:textbox>
                  <w:txbxContent>
                    <w:p>
                      <w:pPr>
                        <w:jc w:val="right"/>
                        <w:rPr>
                          <w:rFonts w:ascii="微软雅黑" w:hAnsi="微软雅黑" w:eastAsia="微软雅黑" w:cs="微软雅黑"/>
                          <w:color w:val="252525"/>
                          <w:sz w:val="32"/>
                          <w:szCs w:val="32"/>
                          <w:lang w:val="en-US"/>
                        </w:rPr>
                      </w:pPr>
                      <w:r>
                        <w:rPr>
                          <w:rFonts w:hint="eastAsia" w:ascii="微软雅黑" w:hAnsi="微软雅黑" w:eastAsia="微软雅黑" w:cs="微软雅黑"/>
                          <w:color w:val="252525"/>
                          <w:sz w:val="32"/>
                          <w:szCs w:val="32"/>
                          <w:lang w:val="en-US"/>
                        </w:rPr>
                        <w:t xml:space="preserve">  江西●南昌</w:t>
                      </w:r>
                    </w:p>
                  </w:txbxContent>
                </v:textbox>
              </v:shape>
            </w:pict>
          </mc:Fallback>
        </mc:AlternateContent>
      </w:r>
      <w:r>
        <w:rPr>
          <w:rFonts w:ascii="Times New Roman" w:hAnsi="Times New Roman" w:eastAsia="微软雅黑" w:cs="Times New Roman"/>
          <w:color w:val="auto"/>
          <w:sz w:val="36"/>
          <w:szCs w:val="36"/>
          <w:lang w:val="en-US"/>
        </w:rPr>
        <mc:AlternateContent>
          <mc:Choice Requires="wps">
            <w:drawing>
              <wp:anchor distT="0" distB="0" distL="114300" distR="114300" simplePos="0" relativeHeight="251667456" behindDoc="0" locked="0" layoutInCell="1" allowOverlap="1">
                <wp:simplePos x="0" y="0"/>
                <wp:positionH relativeFrom="column">
                  <wp:posOffset>4433570</wp:posOffset>
                </wp:positionH>
                <wp:positionV relativeFrom="paragraph">
                  <wp:posOffset>8900795</wp:posOffset>
                </wp:positionV>
                <wp:extent cx="2345690" cy="45910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2345690" cy="459105"/>
                        </a:xfrm>
                        <a:prstGeom prst="rect">
                          <a:avLst/>
                        </a:prstGeom>
                        <a:noFill/>
                        <a:ln w="6350">
                          <a:noFill/>
                        </a:ln>
                        <a:effectLst/>
                      </wps:spPr>
                      <wps:txbx>
                        <w:txbxContent>
                          <w:p>
                            <w:pPr>
                              <w:wordWrap w:val="0"/>
                              <w:jc w:val="center"/>
                              <w:rPr>
                                <w:rFonts w:hint="eastAsia" w:ascii="黑体" w:hAnsi="黑体" w:eastAsia="黑体" w:cs="黑体"/>
                                <w:color w:val="585858"/>
                                <w:sz w:val="24"/>
                                <w:szCs w:val="24"/>
                                <w:lang w:val="en-US"/>
                              </w:rPr>
                            </w:pPr>
                            <w:r>
                              <w:rPr>
                                <w:rFonts w:hint="eastAsia" w:ascii="黑体" w:hAnsi="黑体" w:eastAsia="黑体" w:cs="黑体"/>
                                <w:b/>
                                <w:bCs/>
                                <w:color w:val="585858"/>
                                <w:sz w:val="24"/>
                                <w:szCs w:val="24"/>
                                <w:lang w:val="en-US"/>
                              </w:rPr>
                              <w:t xml:space="preserve">           二〇二二年 元月</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49.1pt;margin-top:700.85pt;height:36.15pt;width:184.7pt;z-index:251667456;mso-width-relative:page;mso-height-relative:page;" filled="f" stroked="f" coordsize="21600,21600" o:gfxdata="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6NUCXdAAAADgEAAA8AAAAA&#10;AAAAAQAgAAAAIgAAAGRycy9kb3ducmV2LnhtbFBLAQIUABQAAAAIAIdO4kBNEwiWSAIAAIIEAAAO&#10;AAAAAAAAAAEAIAAAACwBAABkcnMvZTJvRG9jLnhtbFBLBQYAAAAABgAGAFkBAADmBQAAAAA=&#10;">
                <v:fill on="f" focussize="0,0"/>
                <v:stroke on="f" weight="0.5pt"/>
                <v:imagedata o:title=""/>
                <o:lock v:ext="edit" aspectratio="f"/>
                <v:textbox>
                  <w:txbxContent>
                    <w:p>
                      <w:pPr>
                        <w:wordWrap w:val="0"/>
                        <w:jc w:val="center"/>
                        <w:rPr>
                          <w:rFonts w:hint="eastAsia" w:ascii="黑体" w:hAnsi="黑体" w:eastAsia="黑体" w:cs="黑体"/>
                          <w:color w:val="585858"/>
                          <w:sz w:val="24"/>
                          <w:szCs w:val="24"/>
                          <w:lang w:val="en-US"/>
                        </w:rPr>
                      </w:pPr>
                      <w:r>
                        <w:rPr>
                          <w:rFonts w:hint="eastAsia" w:ascii="黑体" w:hAnsi="黑体" w:eastAsia="黑体" w:cs="黑体"/>
                          <w:b/>
                          <w:bCs/>
                          <w:color w:val="585858"/>
                          <w:sz w:val="24"/>
                          <w:szCs w:val="24"/>
                          <w:lang w:val="en-US"/>
                        </w:rPr>
                        <w:t xml:space="preserve">           二〇二二年 元月</w:t>
                      </w:r>
                    </w:p>
                  </w:txbxContent>
                </v:textbox>
              </v:shape>
            </w:pict>
          </mc:Fallback>
        </mc:AlternateContent>
      </w:r>
      <w:r>
        <w:rPr>
          <w:rFonts w:ascii="Times New Roman" w:hAnsi="Times New Roman" w:eastAsia="微软雅黑" w:cs="Times New Roman"/>
          <w:color w:val="auto"/>
          <w:sz w:val="36"/>
          <w:szCs w:val="36"/>
          <w:lang w:val="en-US"/>
        </w:rPr>
        <w:t>二</w:t>
      </w:r>
      <w:r>
        <w:rPr>
          <w:rFonts w:ascii="Times New Roman" w:hAnsi="Times New Roman" w:eastAsia="方正黑体简体" w:cs="Times New Roman"/>
          <w:color w:val="auto"/>
          <w:sz w:val="36"/>
          <w:szCs w:val="36"/>
          <w:lang w:val="en-US"/>
        </w:rPr>
        <w:t>〇</w:t>
      </w:r>
      <w:r>
        <w:rPr>
          <w:rFonts w:ascii="Times New Roman" w:hAnsi="Times New Roman" w:eastAsia="微软雅黑" w:cs="Times New Roman"/>
          <w:color w:val="auto"/>
          <w:sz w:val="36"/>
          <w:szCs w:val="36"/>
          <w:lang w:val="en-US"/>
        </w:rPr>
        <w:t>二二年</w:t>
      </w:r>
      <w:r>
        <w:rPr>
          <w:rFonts w:hint="eastAsia" w:ascii="Times New Roman" w:hAnsi="Times New Roman" w:eastAsia="微软雅黑" w:cs="Times New Roman"/>
          <w:color w:val="auto"/>
          <w:sz w:val="36"/>
          <w:szCs w:val="36"/>
          <w:lang w:val="en-US" w:eastAsia="zh-CN"/>
        </w:rPr>
        <w:t>十二月</w:t>
      </w:r>
      <w:bookmarkStart w:id="107" w:name="_GoBack"/>
      <w:bookmarkEnd w:id="107"/>
    </w:p>
    <w:p>
      <w:pPr>
        <w:spacing w:line="341" w:lineRule="auto"/>
        <w:rPr>
          <w:rFonts w:hint="eastAsia" w:ascii="Arial" w:eastAsiaTheme="minorEastAsia"/>
          <w:sz w:val="21"/>
          <w:lang w:eastAsia="zh-CN"/>
        </w:rPr>
      </w:pPr>
    </w:p>
    <w:p>
      <w:pPr>
        <w:spacing w:line="342" w:lineRule="auto"/>
        <w:rPr>
          <w:rFonts w:hint="eastAsia" w:ascii="宋体" w:hAnsi="宋体" w:eastAsia="宋体" w:cs="宋体"/>
          <w:spacing w:val="2"/>
          <w:sz w:val="43"/>
          <w:szCs w:val="43"/>
          <w:lang w:val="en-US" w:eastAsia="zh-CN"/>
        </w:rPr>
      </w:pPr>
      <w:r>
        <w:rPr>
          <w:rFonts w:hint="eastAsia" w:ascii="Arial" w:eastAsiaTheme="minorEastAsia"/>
          <w:sz w:val="21"/>
          <w:lang w:eastAsia="zh-CN"/>
        </w:rPr>
        <w:drawing>
          <wp:inline distT="0" distB="0" distL="114300" distR="114300">
            <wp:extent cx="5443220" cy="8185150"/>
            <wp:effectExtent l="0" t="0" r="5080" b="6350"/>
            <wp:docPr id="56" name="图片 56" descr="微信图片_202301161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微信图片_20230116112954"/>
                    <pic:cNvPicPr>
                      <a:picLocks noChangeAspect="1"/>
                    </pic:cNvPicPr>
                  </pic:nvPicPr>
                  <pic:blipFill>
                    <a:blip r:embed="rId7">
                      <a:lum bright="24000"/>
                    </a:blip>
                    <a:srcRect l="764" t="9354"/>
                    <a:stretch>
                      <a:fillRect/>
                    </a:stretch>
                  </pic:blipFill>
                  <pic:spPr>
                    <a:xfrm>
                      <a:off x="0" y="0"/>
                      <a:ext cx="5443220" cy="8185150"/>
                    </a:xfrm>
                    <a:prstGeom prst="rect">
                      <a:avLst/>
                    </a:prstGeom>
                  </pic:spPr>
                </pic:pic>
              </a:graphicData>
            </a:graphic>
          </wp:inline>
        </w:drawing>
      </w:r>
    </w:p>
    <w:sdt>
      <w:sdtPr>
        <w:rPr>
          <w:rFonts w:ascii="宋体" w:hAnsi="宋体" w:eastAsia="宋体" w:cstheme="minorBidi"/>
          <w:kern w:val="2"/>
          <w:sz w:val="21"/>
          <w:szCs w:val="22"/>
          <w:lang w:val="en-US" w:eastAsia="zh-CN" w:bidi="ar-SA"/>
        </w:rPr>
        <w:id w:val="147482468"/>
        <w15:color w:val="DBDBDB"/>
        <w:docPartObj>
          <w:docPartGallery w:val="Table of Contents"/>
          <w:docPartUnique/>
        </w:docPartObj>
      </w:sdtPr>
      <w:sdtEndPr>
        <w:rPr>
          <w:rFonts w:hint="eastAsia" w:ascii="方正小标宋简体" w:hAnsi="宋体" w:eastAsia="方正小标宋简体" w:cs="宋体"/>
          <w:bCs/>
          <w:color w:val="333333"/>
          <w:kern w:val="0"/>
          <w:sz w:val="21"/>
          <w:szCs w:val="44"/>
          <w:lang w:val="en-US" w:eastAsia="zh-CN" w:bidi="ar-SA"/>
        </w:rPr>
      </w:sdtEndPr>
      <w:sdtContent>
        <w:p>
          <w:pPr>
            <w:spacing w:before="0" w:beforeLines="0" w:after="0" w:afterLines="0" w:line="240" w:lineRule="auto"/>
            <w:ind w:left="0" w:leftChars="0" w:right="0" w:rightChars="0" w:firstLine="0" w:firstLineChars="0"/>
            <w:jc w:val="center"/>
          </w:pPr>
          <w:r>
            <w:rPr>
              <w:rFonts w:hint="eastAsia" w:ascii="黑体" w:hAnsi="黑体" w:eastAsia="黑体" w:cs="黑体"/>
              <w:b/>
              <w:bCs/>
              <w:color w:val="000000"/>
              <w:spacing w:val="0"/>
              <w:w w:val="100"/>
              <w:kern w:val="2"/>
              <w:position w:val="0"/>
              <w:sz w:val="36"/>
              <w:szCs w:val="36"/>
              <w:u w:val="none"/>
              <w:shd w:val="clear" w:color="auto" w:fill="auto"/>
              <w:lang w:val="zh-TW" w:eastAsia="zh-TW" w:bidi="zh-TW"/>
            </w:rPr>
            <w:t>目</w:t>
          </w:r>
          <w:r>
            <w:rPr>
              <w:rFonts w:hint="eastAsia" w:ascii="黑体" w:hAnsi="黑体" w:eastAsia="黑体" w:cs="黑体"/>
              <w:b/>
              <w:bCs/>
              <w:color w:val="000000"/>
              <w:spacing w:val="0"/>
              <w:w w:val="100"/>
              <w:kern w:val="2"/>
              <w:position w:val="0"/>
              <w:sz w:val="36"/>
              <w:szCs w:val="36"/>
              <w:u w:val="none"/>
              <w:shd w:val="clear" w:color="auto" w:fill="auto"/>
              <w:lang w:val="en-US" w:eastAsia="zh-CN" w:bidi="zh-TW"/>
            </w:rPr>
            <w:t xml:space="preserve">  </w:t>
          </w:r>
          <w:r>
            <w:rPr>
              <w:rFonts w:hint="eastAsia" w:ascii="黑体" w:hAnsi="黑体" w:eastAsia="黑体" w:cs="黑体"/>
              <w:b/>
              <w:bCs/>
              <w:color w:val="000000"/>
              <w:spacing w:val="0"/>
              <w:w w:val="100"/>
              <w:kern w:val="2"/>
              <w:position w:val="0"/>
              <w:sz w:val="36"/>
              <w:szCs w:val="36"/>
              <w:u w:val="none"/>
              <w:shd w:val="clear" w:color="auto" w:fill="auto"/>
              <w:lang w:val="zh-TW" w:eastAsia="zh-TW" w:bidi="zh-TW"/>
            </w:rPr>
            <w:t>录</w:t>
          </w:r>
          <w:r>
            <w:rPr>
              <w:rFonts w:hint="eastAsia" w:ascii="方正小标宋简体" w:hAnsi="宋体" w:eastAsia="方正小标宋简体" w:cs="宋体"/>
              <w:b/>
              <w:bCs/>
              <w:color w:val="333333"/>
              <w:kern w:val="0"/>
              <w:sz w:val="52"/>
              <w:szCs w:val="52"/>
            </w:rPr>
            <w:fldChar w:fldCharType="begin"/>
          </w:r>
          <w:r>
            <w:rPr>
              <w:rFonts w:hint="eastAsia" w:ascii="方正小标宋简体" w:hAnsi="宋体" w:eastAsia="方正小标宋简体" w:cs="宋体"/>
              <w:b/>
              <w:bCs/>
              <w:color w:val="333333"/>
              <w:kern w:val="0"/>
              <w:sz w:val="52"/>
              <w:szCs w:val="52"/>
            </w:rPr>
            <w:instrText xml:space="preserve">TOC \o "1-3" \h \u </w:instrText>
          </w:r>
          <w:r>
            <w:rPr>
              <w:rFonts w:hint="eastAsia" w:ascii="方正小标宋简体" w:hAnsi="宋体" w:eastAsia="方正小标宋简体" w:cs="宋体"/>
              <w:b/>
              <w:bCs/>
              <w:color w:val="333333"/>
              <w:kern w:val="0"/>
              <w:sz w:val="52"/>
              <w:szCs w:val="52"/>
            </w:rPr>
            <w:fldChar w:fldCharType="separate"/>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_Toc27990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kern w:val="2"/>
              <w:sz w:val="32"/>
              <w:szCs w:val="48"/>
              <w:lang w:val="en-US" w:eastAsia="zh-CN" w:bidi="ar-SA"/>
            </w:rPr>
            <w:t>前言</w:t>
          </w:r>
          <w:r>
            <w:rPr>
              <w:sz w:val="32"/>
              <w:szCs w:val="36"/>
            </w:rPr>
            <w:tab/>
          </w:r>
          <w:r>
            <w:rPr>
              <w:sz w:val="32"/>
              <w:szCs w:val="36"/>
            </w:rPr>
            <w:fldChar w:fldCharType="begin"/>
          </w:r>
          <w:r>
            <w:rPr>
              <w:sz w:val="32"/>
              <w:szCs w:val="36"/>
            </w:rPr>
            <w:instrText xml:space="preserve"> PAGEREF _Toc27990 \h </w:instrText>
          </w:r>
          <w:r>
            <w:rPr>
              <w:sz w:val="32"/>
              <w:szCs w:val="36"/>
            </w:rPr>
            <w:fldChar w:fldCharType="separate"/>
          </w:r>
          <w:r>
            <w:rPr>
              <w:sz w:val="32"/>
              <w:szCs w:val="36"/>
            </w:rPr>
            <w:t>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_Toc16084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1.1</w:t>
          </w:r>
          <w:r>
            <w:rPr>
              <w:rFonts w:hint="eastAsia" w:ascii="楷体_GB2312" w:hAnsi="楷体_GB2312" w:eastAsia="楷体_GB2312" w:cs="楷体_GB2312"/>
              <w:bCs/>
              <w:spacing w:val="0"/>
              <w:w w:val="100"/>
              <w:kern w:val="2"/>
              <w:position w:val="0"/>
              <w:sz w:val="32"/>
              <w:szCs w:val="48"/>
              <w:shd w:val="clear" w:color="auto" w:fill="auto"/>
              <w:lang w:val="zh-TW" w:eastAsia="zh-TW" w:bidi="zh-TW"/>
            </w:rPr>
            <w:t>办学历史</w:t>
          </w:r>
          <w:r>
            <w:rPr>
              <w:sz w:val="32"/>
              <w:szCs w:val="36"/>
            </w:rPr>
            <w:tab/>
          </w:r>
          <w:r>
            <w:rPr>
              <w:sz w:val="32"/>
              <w:szCs w:val="36"/>
            </w:rPr>
            <w:fldChar w:fldCharType="begin"/>
          </w:r>
          <w:r>
            <w:rPr>
              <w:sz w:val="32"/>
              <w:szCs w:val="36"/>
            </w:rPr>
            <w:instrText xml:space="preserve"> PAGEREF _Toc16084 \h </w:instrText>
          </w:r>
          <w:r>
            <w:rPr>
              <w:sz w:val="32"/>
              <w:szCs w:val="36"/>
            </w:rPr>
            <w:fldChar w:fldCharType="separate"/>
          </w:r>
          <w:r>
            <w:rPr>
              <w:sz w:val="32"/>
              <w:szCs w:val="36"/>
            </w:rPr>
            <w:t>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_Toc27047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1.2</w:t>
          </w:r>
          <w:r>
            <w:rPr>
              <w:rFonts w:hint="eastAsia" w:ascii="楷体_GB2312" w:hAnsi="楷体_GB2312" w:eastAsia="楷体_GB2312" w:cs="楷体_GB2312"/>
              <w:bCs/>
              <w:spacing w:val="0"/>
              <w:w w:val="100"/>
              <w:kern w:val="2"/>
              <w:position w:val="0"/>
              <w:sz w:val="32"/>
              <w:szCs w:val="48"/>
              <w:shd w:val="clear" w:color="auto" w:fill="auto"/>
              <w:lang w:val="zh-TW" w:eastAsia="zh-TW" w:bidi="zh-TW"/>
            </w:rPr>
            <w:t>办学理念</w:t>
          </w:r>
          <w:r>
            <w:rPr>
              <w:sz w:val="32"/>
              <w:szCs w:val="36"/>
            </w:rPr>
            <w:tab/>
          </w:r>
          <w:r>
            <w:rPr>
              <w:sz w:val="32"/>
              <w:szCs w:val="36"/>
            </w:rPr>
            <w:fldChar w:fldCharType="begin"/>
          </w:r>
          <w:r>
            <w:rPr>
              <w:sz w:val="32"/>
              <w:szCs w:val="36"/>
            </w:rPr>
            <w:instrText xml:space="preserve"> PAGEREF _Toc27047 \h </w:instrText>
          </w:r>
          <w:r>
            <w:rPr>
              <w:sz w:val="32"/>
              <w:szCs w:val="36"/>
            </w:rPr>
            <w:fldChar w:fldCharType="separate"/>
          </w:r>
          <w:r>
            <w:rPr>
              <w:sz w:val="32"/>
              <w:szCs w:val="36"/>
            </w:rPr>
            <w:t>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_Toc1787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1.3办学条件</w:t>
          </w:r>
          <w:r>
            <w:rPr>
              <w:sz w:val="32"/>
              <w:szCs w:val="36"/>
            </w:rPr>
            <w:tab/>
          </w:r>
          <w:r>
            <w:rPr>
              <w:sz w:val="32"/>
              <w:szCs w:val="36"/>
            </w:rPr>
            <w:fldChar w:fldCharType="begin"/>
          </w:r>
          <w:r>
            <w:rPr>
              <w:sz w:val="32"/>
              <w:szCs w:val="36"/>
            </w:rPr>
            <w:instrText xml:space="preserve"> PAGEREF _Toc1787 \h </w:instrText>
          </w:r>
          <w:r>
            <w:rPr>
              <w:sz w:val="32"/>
              <w:szCs w:val="36"/>
            </w:rPr>
            <w:fldChar w:fldCharType="separate"/>
          </w:r>
          <w:r>
            <w:rPr>
              <w:sz w:val="32"/>
              <w:szCs w:val="36"/>
            </w:rPr>
            <w:t>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_Toc8838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1.4办学成效</w:t>
          </w:r>
          <w:r>
            <w:rPr>
              <w:sz w:val="32"/>
              <w:szCs w:val="36"/>
            </w:rPr>
            <w:tab/>
          </w:r>
          <w:r>
            <w:rPr>
              <w:sz w:val="32"/>
              <w:szCs w:val="36"/>
            </w:rPr>
            <w:fldChar w:fldCharType="begin"/>
          </w:r>
          <w:r>
            <w:rPr>
              <w:sz w:val="32"/>
              <w:szCs w:val="36"/>
            </w:rPr>
            <w:instrText xml:space="preserve"> PAGEREF _Toc8838 \h </w:instrText>
          </w:r>
          <w:r>
            <w:rPr>
              <w:sz w:val="32"/>
              <w:szCs w:val="36"/>
            </w:rPr>
            <w:fldChar w:fldCharType="separate"/>
          </w:r>
          <w:r>
            <w:rPr>
              <w:sz w:val="32"/>
              <w:szCs w:val="36"/>
            </w:rPr>
            <w:t>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_Toc20103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sz w:val="32"/>
              <w:szCs w:val="48"/>
              <w:lang w:val="en-US" w:eastAsia="zh-CN"/>
            </w:rPr>
            <w:t>2.学生发展</w:t>
          </w:r>
          <w:r>
            <w:rPr>
              <w:sz w:val="32"/>
              <w:szCs w:val="36"/>
            </w:rPr>
            <w:tab/>
          </w:r>
          <w:r>
            <w:rPr>
              <w:sz w:val="32"/>
              <w:szCs w:val="36"/>
            </w:rPr>
            <w:fldChar w:fldCharType="begin"/>
          </w:r>
          <w:r>
            <w:rPr>
              <w:sz w:val="32"/>
              <w:szCs w:val="36"/>
            </w:rPr>
            <w:instrText xml:space="preserve"> PAGEREF _Toc20103 \h </w:instrText>
          </w:r>
          <w:r>
            <w:rPr>
              <w:sz w:val="32"/>
              <w:szCs w:val="36"/>
            </w:rPr>
            <w:fldChar w:fldCharType="separate"/>
          </w:r>
          <w:r>
            <w:rPr>
              <w:sz w:val="32"/>
              <w:szCs w:val="36"/>
            </w:rPr>
            <w:t>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_Toc781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2.1党建引领</w:t>
          </w:r>
          <w:r>
            <w:rPr>
              <w:sz w:val="32"/>
              <w:szCs w:val="36"/>
            </w:rPr>
            <w:tab/>
          </w:r>
          <w:r>
            <w:rPr>
              <w:sz w:val="32"/>
              <w:szCs w:val="36"/>
            </w:rPr>
            <w:fldChar w:fldCharType="begin"/>
          </w:r>
          <w:r>
            <w:rPr>
              <w:sz w:val="32"/>
              <w:szCs w:val="36"/>
            </w:rPr>
            <w:instrText xml:space="preserve"> PAGEREF _Toc781 \h </w:instrText>
          </w:r>
          <w:r>
            <w:rPr>
              <w:sz w:val="32"/>
              <w:szCs w:val="36"/>
            </w:rPr>
            <w:fldChar w:fldCharType="separate"/>
          </w:r>
          <w:r>
            <w:rPr>
              <w:sz w:val="32"/>
              <w:szCs w:val="36"/>
            </w:rPr>
            <w:t>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_Toc24207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2.2立德树人</w:t>
          </w:r>
          <w:r>
            <w:rPr>
              <w:sz w:val="32"/>
              <w:szCs w:val="36"/>
            </w:rPr>
            <w:tab/>
          </w:r>
          <w:r>
            <w:rPr>
              <w:sz w:val="32"/>
              <w:szCs w:val="36"/>
            </w:rPr>
            <w:fldChar w:fldCharType="begin"/>
          </w:r>
          <w:r>
            <w:rPr>
              <w:sz w:val="32"/>
              <w:szCs w:val="36"/>
            </w:rPr>
            <w:instrText xml:space="preserve"> PAGEREF _Toc24207 \h </w:instrText>
          </w:r>
          <w:r>
            <w:rPr>
              <w:sz w:val="32"/>
              <w:szCs w:val="36"/>
            </w:rPr>
            <w:fldChar w:fldCharType="separate"/>
          </w:r>
          <w:r>
            <w:rPr>
              <w:sz w:val="32"/>
              <w:szCs w:val="36"/>
            </w:rPr>
            <w:t>7</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_Toc14521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2.3在校体验</w:t>
          </w:r>
          <w:r>
            <w:rPr>
              <w:sz w:val="32"/>
              <w:szCs w:val="36"/>
            </w:rPr>
            <w:tab/>
          </w:r>
          <w:r>
            <w:rPr>
              <w:sz w:val="32"/>
              <w:szCs w:val="36"/>
            </w:rPr>
            <w:fldChar w:fldCharType="begin"/>
          </w:r>
          <w:r>
            <w:rPr>
              <w:sz w:val="32"/>
              <w:szCs w:val="36"/>
            </w:rPr>
            <w:instrText xml:space="preserve"> PAGEREF _Toc14521 \h </w:instrText>
          </w:r>
          <w:r>
            <w:rPr>
              <w:sz w:val="32"/>
              <w:szCs w:val="36"/>
            </w:rPr>
            <w:fldChar w:fldCharType="separate"/>
          </w:r>
          <w:r>
            <w:rPr>
              <w:sz w:val="32"/>
              <w:szCs w:val="36"/>
            </w:rPr>
            <w:t>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_Toc7257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2.3.1理论学习满意度</w:t>
          </w:r>
          <w:r>
            <w:rPr>
              <w:sz w:val="32"/>
              <w:szCs w:val="36"/>
            </w:rPr>
            <w:tab/>
          </w:r>
          <w:r>
            <w:rPr>
              <w:sz w:val="32"/>
              <w:szCs w:val="36"/>
            </w:rPr>
            <w:fldChar w:fldCharType="begin"/>
          </w:r>
          <w:r>
            <w:rPr>
              <w:sz w:val="32"/>
              <w:szCs w:val="36"/>
            </w:rPr>
            <w:instrText xml:space="preserve"> PAGEREF _Toc7257 \h </w:instrText>
          </w:r>
          <w:r>
            <w:rPr>
              <w:sz w:val="32"/>
              <w:szCs w:val="36"/>
            </w:rPr>
            <w:fldChar w:fldCharType="separate"/>
          </w:r>
          <w:r>
            <w:rPr>
              <w:sz w:val="32"/>
              <w:szCs w:val="36"/>
            </w:rPr>
            <w:t>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_Toc12940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2.3.2校园文化满意度</w:t>
          </w:r>
          <w:r>
            <w:rPr>
              <w:sz w:val="32"/>
              <w:szCs w:val="36"/>
            </w:rPr>
            <w:tab/>
          </w:r>
          <w:r>
            <w:rPr>
              <w:sz w:val="32"/>
              <w:szCs w:val="36"/>
            </w:rPr>
            <w:fldChar w:fldCharType="begin"/>
          </w:r>
          <w:r>
            <w:rPr>
              <w:sz w:val="32"/>
              <w:szCs w:val="36"/>
            </w:rPr>
            <w:instrText xml:space="preserve"> PAGEREF _Toc12940 \h </w:instrText>
          </w:r>
          <w:r>
            <w:rPr>
              <w:sz w:val="32"/>
              <w:szCs w:val="36"/>
            </w:rPr>
            <w:fldChar w:fldCharType="separate"/>
          </w:r>
          <w:r>
            <w:rPr>
              <w:sz w:val="32"/>
              <w:szCs w:val="36"/>
            </w:rPr>
            <w:t>9</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_Toc9835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2.3.3社团活动开展情况</w:t>
          </w:r>
          <w:r>
            <w:rPr>
              <w:sz w:val="32"/>
              <w:szCs w:val="36"/>
            </w:rPr>
            <w:tab/>
          </w:r>
          <w:r>
            <w:rPr>
              <w:sz w:val="32"/>
              <w:szCs w:val="36"/>
            </w:rPr>
            <w:fldChar w:fldCharType="begin"/>
          </w:r>
          <w:r>
            <w:rPr>
              <w:sz w:val="32"/>
              <w:szCs w:val="36"/>
            </w:rPr>
            <w:instrText xml:space="preserve"> PAGEREF _Toc9835 \h </w:instrText>
          </w:r>
          <w:r>
            <w:rPr>
              <w:sz w:val="32"/>
              <w:szCs w:val="36"/>
            </w:rPr>
            <w:fldChar w:fldCharType="separate"/>
          </w:r>
          <w:r>
            <w:rPr>
              <w:sz w:val="32"/>
              <w:szCs w:val="36"/>
            </w:rPr>
            <w:t>11</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_Toc31318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2.4就业质量</w:t>
          </w:r>
          <w:r>
            <w:rPr>
              <w:sz w:val="32"/>
              <w:szCs w:val="36"/>
            </w:rPr>
            <w:tab/>
          </w:r>
          <w:r>
            <w:rPr>
              <w:sz w:val="32"/>
              <w:szCs w:val="36"/>
            </w:rPr>
            <w:fldChar w:fldCharType="begin"/>
          </w:r>
          <w:r>
            <w:rPr>
              <w:sz w:val="32"/>
              <w:szCs w:val="36"/>
            </w:rPr>
            <w:instrText xml:space="preserve"> PAGEREF _Toc31318 \h </w:instrText>
          </w:r>
          <w:r>
            <w:rPr>
              <w:sz w:val="32"/>
              <w:szCs w:val="36"/>
            </w:rPr>
            <w:fldChar w:fldCharType="separate"/>
          </w:r>
          <w:r>
            <w:rPr>
              <w:sz w:val="32"/>
              <w:szCs w:val="36"/>
            </w:rPr>
            <w:t>14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_Toc14127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2.4.1 毕业生人数及生源结构</w:t>
          </w:r>
          <w:r>
            <w:rPr>
              <w:sz w:val="32"/>
              <w:szCs w:val="36"/>
            </w:rPr>
            <w:tab/>
          </w:r>
          <w:r>
            <w:rPr>
              <w:sz w:val="32"/>
              <w:szCs w:val="36"/>
            </w:rPr>
            <w:fldChar w:fldCharType="begin"/>
          </w:r>
          <w:r>
            <w:rPr>
              <w:sz w:val="32"/>
              <w:szCs w:val="36"/>
            </w:rPr>
            <w:instrText xml:space="preserve"> PAGEREF _Toc14127 \h </w:instrText>
          </w:r>
          <w:r>
            <w:rPr>
              <w:sz w:val="32"/>
              <w:szCs w:val="36"/>
            </w:rPr>
            <w:fldChar w:fldCharType="separate"/>
          </w:r>
          <w:r>
            <w:rPr>
              <w:sz w:val="32"/>
              <w:szCs w:val="36"/>
            </w:rPr>
            <w:t>14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_Toc16715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2.4.2 就业情况</w:t>
          </w:r>
          <w:r>
            <w:rPr>
              <w:sz w:val="32"/>
              <w:szCs w:val="36"/>
            </w:rPr>
            <w:tab/>
          </w:r>
          <w:r>
            <w:rPr>
              <w:sz w:val="32"/>
              <w:szCs w:val="36"/>
            </w:rPr>
            <w:fldChar w:fldCharType="begin"/>
          </w:r>
          <w:r>
            <w:rPr>
              <w:sz w:val="32"/>
              <w:szCs w:val="36"/>
            </w:rPr>
            <w:instrText xml:space="preserve"> PAGEREF _Toc16715 \h </w:instrText>
          </w:r>
          <w:r>
            <w:rPr>
              <w:sz w:val="32"/>
              <w:szCs w:val="36"/>
            </w:rPr>
            <w:fldChar w:fldCharType="separate"/>
          </w:r>
          <w:r>
            <w:rPr>
              <w:sz w:val="32"/>
              <w:szCs w:val="36"/>
            </w:rPr>
            <w:t>15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_Toc25005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2.4.3 初次就业起薪</w:t>
          </w:r>
          <w:r>
            <w:rPr>
              <w:sz w:val="32"/>
              <w:szCs w:val="36"/>
            </w:rPr>
            <w:tab/>
          </w:r>
          <w:r>
            <w:rPr>
              <w:sz w:val="32"/>
              <w:szCs w:val="36"/>
            </w:rPr>
            <w:fldChar w:fldCharType="begin"/>
          </w:r>
          <w:r>
            <w:rPr>
              <w:sz w:val="32"/>
              <w:szCs w:val="36"/>
            </w:rPr>
            <w:instrText xml:space="preserve"> PAGEREF _Toc25005 \h </w:instrText>
          </w:r>
          <w:r>
            <w:rPr>
              <w:sz w:val="32"/>
              <w:szCs w:val="36"/>
            </w:rPr>
            <w:fldChar w:fldCharType="separate"/>
          </w:r>
          <w:r>
            <w:rPr>
              <w:sz w:val="32"/>
              <w:szCs w:val="36"/>
            </w:rPr>
            <w:t>15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_Toc596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2.5创新创业</w:t>
          </w:r>
          <w:r>
            <w:rPr>
              <w:sz w:val="32"/>
              <w:szCs w:val="36"/>
            </w:rPr>
            <w:tab/>
          </w:r>
          <w:r>
            <w:rPr>
              <w:sz w:val="32"/>
              <w:szCs w:val="36"/>
            </w:rPr>
            <w:fldChar w:fldCharType="begin"/>
          </w:r>
          <w:r>
            <w:rPr>
              <w:sz w:val="32"/>
              <w:szCs w:val="36"/>
            </w:rPr>
            <w:instrText xml:space="preserve"> PAGEREF _Toc596 \h </w:instrText>
          </w:r>
          <w:r>
            <w:rPr>
              <w:sz w:val="32"/>
              <w:szCs w:val="36"/>
            </w:rPr>
            <w:fldChar w:fldCharType="separate"/>
          </w:r>
          <w:r>
            <w:rPr>
              <w:sz w:val="32"/>
              <w:szCs w:val="36"/>
            </w:rPr>
            <w:t>16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_Toc28592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2.5.1领导高度重视</w:t>
          </w:r>
          <w:r>
            <w:rPr>
              <w:sz w:val="32"/>
              <w:szCs w:val="36"/>
            </w:rPr>
            <w:tab/>
          </w:r>
          <w:r>
            <w:rPr>
              <w:sz w:val="32"/>
              <w:szCs w:val="36"/>
            </w:rPr>
            <w:fldChar w:fldCharType="begin"/>
          </w:r>
          <w:r>
            <w:rPr>
              <w:sz w:val="32"/>
              <w:szCs w:val="36"/>
            </w:rPr>
            <w:instrText xml:space="preserve"> PAGEREF _Toc28592 \h </w:instrText>
          </w:r>
          <w:r>
            <w:rPr>
              <w:sz w:val="32"/>
              <w:szCs w:val="36"/>
            </w:rPr>
            <w:fldChar w:fldCharType="separate"/>
          </w:r>
          <w:r>
            <w:rPr>
              <w:sz w:val="32"/>
              <w:szCs w:val="36"/>
            </w:rPr>
            <w:t>16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_Toc15026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2.5.2加强就业创业教育</w:t>
          </w:r>
          <w:r>
            <w:rPr>
              <w:sz w:val="32"/>
              <w:szCs w:val="36"/>
            </w:rPr>
            <w:tab/>
          </w:r>
          <w:r>
            <w:rPr>
              <w:sz w:val="32"/>
              <w:szCs w:val="36"/>
            </w:rPr>
            <w:fldChar w:fldCharType="begin"/>
          </w:r>
          <w:r>
            <w:rPr>
              <w:sz w:val="32"/>
              <w:szCs w:val="36"/>
            </w:rPr>
            <w:instrText xml:space="preserve"> PAGEREF _Toc15026 \h </w:instrText>
          </w:r>
          <w:r>
            <w:rPr>
              <w:sz w:val="32"/>
              <w:szCs w:val="36"/>
            </w:rPr>
            <w:fldChar w:fldCharType="separate"/>
          </w:r>
          <w:r>
            <w:rPr>
              <w:sz w:val="32"/>
              <w:szCs w:val="36"/>
            </w:rPr>
            <w:t>17</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_Toc10181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2.5.3积极推动就业创业项目实施</w:t>
          </w:r>
          <w:r>
            <w:rPr>
              <w:sz w:val="32"/>
              <w:szCs w:val="36"/>
            </w:rPr>
            <w:tab/>
          </w:r>
          <w:r>
            <w:rPr>
              <w:sz w:val="32"/>
              <w:szCs w:val="36"/>
            </w:rPr>
            <w:fldChar w:fldCharType="begin"/>
          </w:r>
          <w:r>
            <w:rPr>
              <w:sz w:val="32"/>
              <w:szCs w:val="36"/>
            </w:rPr>
            <w:instrText xml:space="preserve"> PAGEREF _Toc10181 \h </w:instrText>
          </w:r>
          <w:r>
            <w:rPr>
              <w:sz w:val="32"/>
              <w:szCs w:val="36"/>
            </w:rPr>
            <w:fldChar w:fldCharType="separate"/>
          </w:r>
          <w:r>
            <w:rPr>
              <w:sz w:val="32"/>
              <w:szCs w:val="36"/>
            </w:rPr>
            <w:t>17</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_Toc542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2.6技能大赛</w:t>
          </w:r>
          <w:r>
            <w:rPr>
              <w:sz w:val="32"/>
              <w:szCs w:val="36"/>
            </w:rPr>
            <w:tab/>
          </w:r>
          <w:r>
            <w:rPr>
              <w:sz w:val="32"/>
              <w:szCs w:val="36"/>
            </w:rPr>
            <w:fldChar w:fldCharType="begin"/>
          </w:r>
          <w:r>
            <w:rPr>
              <w:sz w:val="32"/>
              <w:szCs w:val="36"/>
            </w:rPr>
            <w:instrText xml:space="preserve"> PAGEREF _Toc542 \h </w:instrText>
          </w:r>
          <w:r>
            <w:rPr>
              <w:sz w:val="32"/>
              <w:szCs w:val="36"/>
            </w:rPr>
            <w:fldChar w:fldCharType="separate"/>
          </w:r>
          <w:r>
            <w:rPr>
              <w:sz w:val="32"/>
              <w:szCs w:val="36"/>
            </w:rPr>
            <w:t>19</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_Toc23830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bCs/>
              <w:spacing w:val="0"/>
              <w:w w:val="100"/>
              <w:kern w:val="2"/>
              <w:position w:val="0"/>
              <w:sz w:val="32"/>
              <w:szCs w:val="48"/>
              <w:shd w:val="clear" w:color="auto" w:fill="auto"/>
              <w:lang w:val="en-US" w:eastAsia="zh-CN" w:bidi="zh-TW"/>
            </w:rPr>
            <w:t>3.教育教学质量</w:t>
          </w:r>
          <w:r>
            <w:rPr>
              <w:sz w:val="32"/>
              <w:szCs w:val="36"/>
            </w:rPr>
            <w:tab/>
          </w:r>
          <w:r>
            <w:rPr>
              <w:sz w:val="32"/>
              <w:szCs w:val="36"/>
            </w:rPr>
            <w:fldChar w:fldCharType="begin"/>
          </w:r>
          <w:r>
            <w:rPr>
              <w:sz w:val="32"/>
              <w:szCs w:val="36"/>
            </w:rPr>
            <w:instrText xml:space="preserve"> PAGEREF _Toc23830 \h </w:instrText>
          </w:r>
          <w:r>
            <w:rPr>
              <w:sz w:val="32"/>
              <w:szCs w:val="36"/>
            </w:rPr>
            <w:fldChar w:fldCharType="separate"/>
          </w:r>
          <w:r>
            <w:rPr>
              <w:sz w:val="32"/>
              <w:szCs w:val="36"/>
            </w:rPr>
            <w:t>26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_Toc73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3.1专业建设质量</w:t>
          </w:r>
          <w:r>
            <w:rPr>
              <w:sz w:val="32"/>
              <w:szCs w:val="36"/>
            </w:rPr>
            <w:tab/>
          </w:r>
          <w:r>
            <w:rPr>
              <w:sz w:val="32"/>
              <w:szCs w:val="36"/>
            </w:rPr>
            <w:fldChar w:fldCharType="begin"/>
          </w:r>
          <w:r>
            <w:rPr>
              <w:sz w:val="32"/>
              <w:szCs w:val="36"/>
            </w:rPr>
            <w:instrText xml:space="preserve"> PAGEREF _Toc73 \h </w:instrText>
          </w:r>
          <w:r>
            <w:rPr>
              <w:sz w:val="32"/>
              <w:szCs w:val="36"/>
            </w:rPr>
            <w:fldChar w:fldCharType="separate"/>
          </w:r>
          <w:r>
            <w:rPr>
              <w:sz w:val="32"/>
              <w:szCs w:val="36"/>
            </w:rPr>
            <w:t>26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_Toc6478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3.2课程建设质量</w:t>
          </w:r>
          <w:r>
            <w:rPr>
              <w:sz w:val="32"/>
              <w:szCs w:val="36"/>
            </w:rPr>
            <w:tab/>
          </w:r>
          <w:r>
            <w:rPr>
              <w:sz w:val="32"/>
              <w:szCs w:val="36"/>
            </w:rPr>
            <w:fldChar w:fldCharType="begin"/>
          </w:r>
          <w:r>
            <w:rPr>
              <w:sz w:val="32"/>
              <w:szCs w:val="36"/>
            </w:rPr>
            <w:instrText xml:space="preserve"> PAGEREF _Toc6478 \h </w:instrText>
          </w:r>
          <w:r>
            <w:rPr>
              <w:sz w:val="32"/>
              <w:szCs w:val="36"/>
            </w:rPr>
            <w:fldChar w:fldCharType="separate"/>
          </w:r>
          <w:r>
            <w:rPr>
              <w:sz w:val="32"/>
              <w:szCs w:val="36"/>
            </w:rPr>
            <w:t>28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_Toc10640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3.3教学方法改革</w:t>
          </w:r>
          <w:r>
            <w:rPr>
              <w:sz w:val="32"/>
              <w:szCs w:val="36"/>
            </w:rPr>
            <w:tab/>
          </w:r>
          <w:r>
            <w:rPr>
              <w:sz w:val="32"/>
              <w:szCs w:val="36"/>
            </w:rPr>
            <w:fldChar w:fldCharType="begin"/>
          </w:r>
          <w:r>
            <w:rPr>
              <w:sz w:val="32"/>
              <w:szCs w:val="36"/>
            </w:rPr>
            <w:instrText xml:space="preserve"> PAGEREF _Toc10640 \h </w:instrText>
          </w:r>
          <w:r>
            <w:rPr>
              <w:sz w:val="32"/>
              <w:szCs w:val="36"/>
            </w:rPr>
            <w:fldChar w:fldCharType="separate"/>
          </w:r>
          <w:r>
            <w:rPr>
              <w:sz w:val="32"/>
              <w:szCs w:val="36"/>
            </w:rPr>
            <w:t>28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_Toc32066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3.5数字化教学资源建设</w:t>
          </w:r>
          <w:r>
            <w:rPr>
              <w:sz w:val="32"/>
              <w:szCs w:val="36"/>
            </w:rPr>
            <w:tab/>
          </w:r>
          <w:r>
            <w:rPr>
              <w:sz w:val="32"/>
              <w:szCs w:val="36"/>
            </w:rPr>
            <w:fldChar w:fldCharType="begin"/>
          </w:r>
          <w:r>
            <w:rPr>
              <w:sz w:val="32"/>
              <w:szCs w:val="36"/>
            </w:rPr>
            <w:instrText xml:space="preserve"> PAGEREF _Toc32066 \h </w:instrText>
          </w:r>
          <w:r>
            <w:rPr>
              <w:sz w:val="32"/>
              <w:szCs w:val="36"/>
            </w:rPr>
            <w:fldChar w:fldCharType="separate"/>
          </w:r>
          <w:r>
            <w:rPr>
              <w:sz w:val="32"/>
              <w:szCs w:val="36"/>
            </w:rPr>
            <w:t>32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_Toc29047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3.5.1 积极推进智慧化校园建设进程</w:t>
          </w:r>
          <w:r>
            <w:rPr>
              <w:sz w:val="32"/>
              <w:szCs w:val="36"/>
            </w:rPr>
            <w:tab/>
          </w:r>
          <w:r>
            <w:rPr>
              <w:sz w:val="32"/>
              <w:szCs w:val="36"/>
            </w:rPr>
            <w:fldChar w:fldCharType="begin"/>
          </w:r>
          <w:r>
            <w:rPr>
              <w:sz w:val="32"/>
              <w:szCs w:val="36"/>
            </w:rPr>
            <w:instrText xml:space="preserve"> PAGEREF _Toc29047 \h </w:instrText>
          </w:r>
          <w:r>
            <w:rPr>
              <w:sz w:val="32"/>
              <w:szCs w:val="36"/>
            </w:rPr>
            <w:fldChar w:fldCharType="separate"/>
          </w:r>
          <w:r>
            <w:rPr>
              <w:sz w:val="32"/>
              <w:szCs w:val="36"/>
            </w:rPr>
            <w:t>32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_Toc4330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3.5.2教学资源平台的应用</w:t>
          </w:r>
          <w:r>
            <w:rPr>
              <w:sz w:val="32"/>
              <w:szCs w:val="36"/>
            </w:rPr>
            <w:tab/>
          </w:r>
          <w:r>
            <w:rPr>
              <w:sz w:val="32"/>
              <w:szCs w:val="36"/>
            </w:rPr>
            <w:fldChar w:fldCharType="begin"/>
          </w:r>
          <w:r>
            <w:rPr>
              <w:sz w:val="32"/>
              <w:szCs w:val="36"/>
            </w:rPr>
            <w:instrText xml:space="preserve"> PAGEREF _Toc4330 \h </w:instrText>
          </w:r>
          <w:r>
            <w:rPr>
              <w:sz w:val="32"/>
              <w:szCs w:val="36"/>
            </w:rPr>
            <w:fldChar w:fldCharType="separate"/>
          </w:r>
          <w:r>
            <w:rPr>
              <w:sz w:val="32"/>
              <w:szCs w:val="36"/>
            </w:rPr>
            <w:t>32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_Toc8330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3.6师资队伍建设</w:t>
          </w:r>
          <w:r>
            <w:rPr>
              <w:sz w:val="32"/>
              <w:szCs w:val="36"/>
            </w:rPr>
            <w:tab/>
          </w:r>
          <w:r>
            <w:rPr>
              <w:sz w:val="32"/>
              <w:szCs w:val="36"/>
            </w:rPr>
            <w:fldChar w:fldCharType="begin"/>
          </w:r>
          <w:r>
            <w:rPr>
              <w:sz w:val="32"/>
              <w:szCs w:val="36"/>
            </w:rPr>
            <w:instrText xml:space="preserve"> PAGEREF _Toc8330 \h </w:instrText>
          </w:r>
          <w:r>
            <w:rPr>
              <w:sz w:val="32"/>
              <w:szCs w:val="36"/>
            </w:rPr>
            <w:fldChar w:fldCharType="separate"/>
          </w:r>
          <w:r>
            <w:rPr>
              <w:sz w:val="32"/>
              <w:szCs w:val="36"/>
            </w:rPr>
            <w:t>33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_Toc16691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3.6.1教师队伍现状</w:t>
          </w:r>
          <w:r>
            <w:rPr>
              <w:sz w:val="32"/>
              <w:szCs w:val="36"/>
            </w:rPr>
            <w:tab/>
          </w:r>
          <w:r>
            <w:rPr>
              <w:sz w:val="32"/>
              <w:szCs w:val="36"/>
            </w:rPr>
            <w:fldChar w:fldCharType="begin"/>
          </w:r>
          <w:r>
            <w:rPr>
              <w:sz w:val="32"/>
              <w:szCs w:val="36"/>
            </w:rPr>
            <w:instrText xml:space="preserve"> PAGEREF _Toc16691 \h </w:instrText>
          </w:r>
          <w:r>
            <w:rPr>
              <w:sz w:val="32"/>
              <w:szCs w:val="36"/>
            </w:rPr>
            <w:fldChar w:fldCharType="separate"/>
          </w:r>
          <w:r>
            <w:rPr>
              <w:sz w:val="32"/>
              <w:szCs w:val="36"/>
            </w:rPr>
            <w:t>33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_Toc25677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3.6.2“双师”素质提升建设</w:t>
          </w:r>
          <w:r>
            <w:rPr>
              <w:sz w:val="32"/>
              <w:szCs w:val="36"/>
            </w:rPr>
            <w:tab/>
          </w:r>
          <w:r>
            <w:rPr>
              <w:sz w:val="32"/>
              <w:szCs w:val="36"/>
            </w:rPr>
            <w:fldChar w:fldCharType="begin"/>
          </w:r>
          <w:r>
            <w:rPr>
              <w:sz w:val="32"/>
              <w:szCs w:val="36"/>
            </w:rPr>
            <w:instrText xml:space="preserve"> PAGEREF _Toc25677 \h </w:instrText>
          </w:r>
          <w:r>
            <w:rPr>
              <w:sz w:val="32"/>
              <w:szCs w:val="36"/>
            </w:rPr>
            <w:fldChar w:fldCharType="separate"/>
          </w:r>
          <w:r>
            <w:rPr>
              <w:sz w:val="32"/>
              <w:szCs w:val="36"/>
            </w:rPr>
            <w:t>34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_Toc20658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3.6.3 教师获奖情况</w:t>
          </w:r>
          <w:r>
            <w:rPr>
              <w:sz w:val="32"/>
              <w:szCs w:val="36"/>
            </w:rPr>
            <w:tab/>
          </w:r>
          <w:r>
            <w:rPr>
              <w:sz w:val="32"/>
              <w:szCs w:val="36"/>
            </w:rPr>
            <w:fldChar w:fldCharType="begin"/>
          </w:r>
          <w:r>
            <w:rPr>
              <w:sz w:val="32"/>
              <w:szCs w:val="36"/>
            </w:rPr>
            <w:instrText xml:space="preserve"> PAGEREF _Toc20658 \h </w:instrText>
          </w:r>
          <w:r>
            <w:rPr>
              <w:sz w:val="32"/>
              <w:szCs w:val="36"/>
            </w:rPr>
            <w:fldChar w:fldCharType="separate"/>
          </w:r>
          <w:r>
            <w:rPr>
              <w:sz w:val="32"/>
              <w:szCs w:val="36"/>
            </w:rPr>
            <w:t>34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_Toc7067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3.6.4 教师培训情况</w:t>
          </w:r>
          <w:r>
            <w:rPr>
              <w:sz w:val="32"/>
              <w:szCs w:val="36"/>
            </w:rPr>
            <w:tab/>
          </w:r>
          <w:r>
            <w:rPr>
              <w:sz w:val="32"/>
              <w:szCs w:val="36"/>
            </w:rPr>
            <w:fldChar w:fldCharType="begin"/>
          </w:r>
          <w:r>
            <w:rPr>
              <w:sz w:val="32"/>
              <w:szCs w:val="36"/>
            </w:rPr>
            <w:instrText xml:space="preserve"> PAGEREF _Toc7067 \h </w:instrText>
          </w:r>
          <w:r>
            <w:rPr>
              <w:sz w:val="32"/>
              <w:szCs w:val="36"/>
            </w:rPr>
            <w:fldChar w:fldCharType="separate"/>
          </w:r>
          <w:r>
            <w:rPr>
              <w:sz w:val="32"/>
              <w:szCs w:val="36"/>
            </w:rPr>
            <w:t>35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_Toc5894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3.7校企双元育人</w:t>
          </w:r>
          <w:r>
            <w:rPr>
              <w:sz w:val="32"/>
              <w:szCs w:val="36"/>
            </w:rPr>
            <w:tab/>
          </w:r>
          <w:r>
            <w:rPr>
              <w:sz w:val="32"/>
              <w:szCs w:val="36"/>
            </w:rPr>
            <w:fldChar w:fldCharType="begin"/>
          </w:r>
          <w:r>
            <w:rPr>
              <w:sz w:val="32"/>
              <w:szCs w:val="36"/>
            </w:rPr>
            <w:instrText xml:space="preserve"> PAGEREF _Toc5894 \h </w:instrText>
          </w:r>
          <w:r>
            <w:rPr>
              <w:sz w:val="32"/>
              <w:szCs w:val="36"/>
            </w:rPr>
            <w:fldChar w:fldCharType="separate"/>
          </w:r>
          <w:r>
            <w:rPr>
              <w:sz w:val="32"/>
              <w:szCs w:val="36"/>
            </w:rPr>
            <w:t>40</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_Toc11007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bCs/>
              <w:spacing w:val="0"/>
              <w:w w:val="100"/>
              <w:kern w:val="2"/>
              <w:position w:val="0"/>
              <w:sz w:val="32"/>
              <w:szCs w:val="48"/>
              <w:shd w:val="clear" w:color="auto" w:fill="auto"/>
              <w:lang w:val="en-US" w:eastAsia="zh-CN" w:bidi="zh-TW"/>
            </w:rPr>
            <w:t>4.国际合作质量</w:t>
          </w:r>
          <w:r>
            <w:rPr>
              <w:sz w:val="32"/>
              <w:szCs w:val="36"/>
            </w:rPr>
            <w:tab/>
          </w:r>
          <w:r>
            <w:rPr>
              <w:sz w:val="32"/>
              <w:szCs w:val="36"/>
            </w:rPr>
            <w:fldChar w:fldCharType="begin"/>
          </w:r>
          <w:r>
            <w:rPr>
              <w:sz w:val="32"/>
              <w:szCs w:val="36"/>
            </w:rPr>
            <w:instrText xml:space="preserve"> PAGEREF _Toc11007 \h </w:instrText>
          </w:r>
          <w:r>
            <w:rPr>
              <w:sz w:val="32"/>
              <w:szCs w:val="36"/>
            </w:rPr>
            <w:fldChar w:fldCharType="separate"/>
          </w:r>
          <w:r>
            <w:rPr>
              <w:sz w:val="32"/>
              <w:szCs w:val="36"/>
            </w:rPr>
            <w:t>43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_Toc16588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bCs/>
              <w:spacing w:val="0"/>
              <w:w w:val="100"/>
              <w:kern w:val="2"/>
              <w:position w:val="0"/>
              <w:sz w:val="32"/>
              <w:szCs w:val="48"/>
              <w:shd w:val="clear" w:color="auto" w:fill="auto"/>
              <w:lang w:val="en-US" w:eastAsia="zh-CN" w:bidi="zh-TW"/>
            </w:rPr>
            <w:t>5.服务贡献质量</w:t>
          </w:r>
          <w:r>
            <w:rPr>
              <w:sz w:val="32"/>
              <w:szCs w:val="36"/>
            </w:rPr>
            <w:tab/>
          </w:r>
          <w:r>
            <w:rPr>
              <w:sz w:val="32"/>
              <w:szCs w:val="36"/>
            </w:rPr>
            <w:fldChar w:fldCharType="begin"/>
          </w:r>
          <w:r>
            <w:rPr>
              <w:sz w:val="32"/>
              <w:szCs w:val="36"/>
            </w:rPr>
            <w:instrText xml:space="preserve"> PAGEREF _Toc16588 \h </w:instrText>
          </w:r>
          <w:r>
            <w:rPr>
              <w:sz w:val="32"/>
              <w:szCs w:val="36"/>
            </w:rPr>
            <w:fldChar w:fldCharType="separate"/>
          </w:r>
          <w:r>
            <w:rPr>
              <w:sz w:val="32"/>
              <w:szCs w:val="36"/>
            </w:rPr>
            <w:t>43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_Toc18802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5.1服务行业企业</w:t>
          </w:r>
          <w:r>
            <w:rPr>
              <w:sz w:val="32"/>
              <w:szCs w:val="36"/>
            </w:rPr>
            <w:tab/>
          </w:r>
          <w:r>
            <w:rPr>
              <w:sz w:val="32"/>
              <w:szCs w:val="36"/>
            </w:rPr>
            <w:fldChar w:fldCharType="begin"/>
          </w:r>
          <w:r>
            <w:rPr>
              <w:sz w:val="32"/>
              <w:szCs w:val="36"/>
            </w:rPr>
            <w:instrText xml:space="preserve"> PAGEREF _Toc18802 \h </w:instrText>
          </w:r>
          <w:r>
            <w:rPr>
              <w:sz w:val="32"/>
              <w:szCs w:val="36"/>
            </w:rPr>
            <w:fldChar w:fldCharType="separate"/>
          </w:r>
          <w:r>
            <w:rPr>
              <w:sz w:val="32"/>
              <w:szCs w:val="36"/>
            </w:rPr>
            <w:t>43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_Toc28979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5.2服务地方发展</w:t>
          </w:r>
          <w:r>
            <w:rPr>
              <w:sz w:val="32"/>
              <w:szCs w:val="36"/>
            </w:rPr>
            <w:tab/>
          </w:r>
          <w:r>
            <w:rPr>
              <w:sz w:val="32"/>
              <w:szCs w:val="36"/>
            </w:rPr>
            <w:fldChar w:fldCharType="begin"/>
          </w:r>
          <w:r>
            <w:rPr>
              <w:sz w:val="32"/>
              <w:szCs w:val="36"/>
            </w:rPr>
            <w:instrText xml:space="preserve"> PAGEREF _Toc28979 \h </w:instrText>
          </w:r>
          <w:r>
            <w:rPr>
              <w:sz w:val="32"/>
              <w:szCs w:val="36"/>
            </w:rPr>
            <w:fldChar w:fldCharType="separate"/>
          </w:r>
          <w:r>
            <w:rPr>
              <w:sz w:val="32"/>
              <w:szCs w:val="36"/>
            </w:rPr>
            <w:t>48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_Toc29445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5.3服务乡村振兴</w:t>
          </w:r>
          <w:r>
            <w:rPr>
              <w:sz w:val="32"/>
              <w:szCs w:val="36"/>
            </w:rPr>
            <w:tab/>
          </w:r>
          <w:r>
            <w:rPr>
              <w:sz w:val="32"/>
              <w:szCs w:val="36"/>
            </w:rPr>
            <w:fldChar w:fldCharType="begin"/>
          </w:r>
          <w:r>
            <w:rPr>
              <w:sz w:val="32"/>
              <w:szCs w:val="36"/>
            </w:rPr>
            <w:instrText xml:space="preserve"> PAGEREF _Toc29445 \h </w:instrText>
          </w:r>
          <w:r>
            <w:rPr>
              <w:sz w:val="32"/>
              <w:szCs w:val="36"/>
            </w:rPr>
            <w:fldChar w:fldCharType="separate"/>
          </w:r>
          <w:r>
            <w:rPr>
              <w:sz w:val="32"/>
              <w:szCs w:val="36"/>
            </w:rPr>
            <w:t>52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_Toc26412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5.4服务地方社区</w:t>
          </w:r>
          <w:r>
            <w:rPr>
              <w:sz w:val="32"/>
              <w:szCs w:val="36"/>
            </w:rPr>
            <w:tab/>
          </w:r>
          <w:r>
            <w:rPr>
              <w:sz w:val="32"/>
              <w:szCs w:val="36"/>
            </w:rPr>
            <w:fldChar w:fldCharType="begin"/>
          </w:r>
          <w:r>
            <w:rPr>
              <w:sz w:val="32"/>
              <w:szCs w:val="36"/>
            </w:rPr>
            <w:instrText xml:space="preserve"> PAGEREF _Toc26412 \h </w:instrText>
          </w:r>
          <w:r>
            <w:rPr>
              <w:sz w:val="32"/>
              <w:szCs w:val="36"/>
            </w:rPr>
            <w:fldChar w:fldCharType="separate"/>
          </w:r>
          <w:r>
            <w:rPr>
              <w:sz w:val="32"/>
              <w:szCs w:val="36"/>
            </w:rPr>
            <w:t>56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_Toc29649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5.5具有地域特色的服务</w:t>
          </w:r>
          <w:r>
            <w:rPr>
              <w:sz w:val="32"/>
              <w:szCs w:val="36"/>
            </w:rPr>
            <w:tab/>
          </w:r>
          <w:r>
            <w:rPr>
              <w:sz w:val="32"/>
              <w:szCs w:val="36"/>
            </w:rPr>
            <w:fldChar w:fldCharType="begin"/>
          </w:r>
          <w:r>
            <w:rPr>
              <w:sz w:val="32"/>
              <w:szCs w:val="36"/>
            </w:rPr>
            <w:instrText xml:space="preserve"> PAGEREF _Toc29649 \h </w:instrText>
          </w:r>
          <w:r>
            <w:rPr>
              <w:sz w:val="32"/>
              <w:szCs w:val="36"/>
            </w:rPr>
            <w:fldChar w:fldCharType="separate"/>
          </w:r>
          <w:r>
            <w:rPr>
              <w:sz w:val="32"/>
              <w:szCs w:val="36"/>
            </w:rPr>
            <w:t>64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_Toc20677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bCs/>
              <w:spacing w:val="0"/>
              <w:w w:val="100"/>
              <w:kern w:val="2"/>
              <w:position w:val="0"/>
              <w:sz w:val="32"/>
              <w:szCs w:val="48"/>
              <w:shd w:val="clear" w:color="auto" w:fill="auto"/>
              <w:lang w:val="en-US" w:eastAsia="zh-CN" w:bidi="zh-TW"/>
            </w:rPr>
            <w:t>6.政策落实质量</w:t>
          </w:r>
          <w:r>
            <w:rPr>
              <w:sz w:val="32"/>
              <w:szCs w:val="36"/>
            </w:rPr>
            <w:tab/>
          </w:r>
          <w:r>
            <w:rPr>
              <w:sz w:val="32"/>
              <w:szCs w:val="36"/>
            </w:rPr>
            <w:fldChar w:fldCharType="begin"/>
          </w:r>
          <w:r>
            <w:rPr>
              <w:sz w:val="32"/>
              <w:szCs w:val="36"/>
            </w:rPr>
            <w:instrText xml:space="preserve"> PAGEREF _Toc20677 \h </w:instrText>
          </w:r>
          <w:r>
            <w:rPr>
              <w:sz w:val="32"/>
              <w:szCs w:val="36"/>
            </w:rPr>
            <w:fldChar w:fldCharType="separate"/>
          </w:r>
          <w:r>
            <w:rPr>
              <w:sz w:val="32"/>
              <w:szCs w:val="36"/>
            </w:rPr>
            <w:t>68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_Toc14000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6.1国家政策落实</w:t>
          </w:r>
          <w:r>
            <w:rPr>
              <w:sz w:val="32"/>
              <w:szCs w:val="36"/>
            </w:rPr>
            <w:tab/>
          </w:r>
          <w:r>
            <w:rPr>
              <w:sz w:val="32"/>
              <w:szCs w:val="36"/>
            </w:rPr>
            <w:fldChar w:fldCharType="begin"/>
          </w:r>
          <w:r>
            <w:rPr>
              <w:sz w:val="32"/>
              <w:szCs w:val="36"/>
            </w:rPr>
            <w:instrText xml:space="preserve"> PAGEREF _Toc14000 \h </w:instrText>
          </w:r>
          <w:r>
            <w:rPr>
              <w:sz w:val="32"/>
              <w:szCs w:val="36"/>
            </w:rPr>
            <w:fldChar w:fldCharType="separate"/>
          </w:r>
          <w:r>
            <w:rPr>
              <w:sz w:val="32"/>
              <w:szCs w:val="36"/>
            </w:rPr>
            <w:t>68</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_Toc15943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6.2地方政策落实</w:t>
          </w:r>
          <w:r>
            <w:rPr>
              <w:sz w:val="32"/>
              <w:szCs w:val="36"/>
            </w:rPr>
            <w:tab/>
          </w:r>
          <w:r>
            <w:rPr>
              <w:sz w:val="32"/>
              <w:szCs w:val="36"/>
            </w:rPr>
            <w:fldChar w:fldCharType="begin"/>
          </w:r>
          <w:r>
            <w:rPr>
              <w:sz w:val="32"/>
              <w:szCs w:val="36"/>
            </w:rPr>
            <w:instrText xml:space="preserve"> PAGEREF _Toc15943 \h </w:instrText>
          </w:r>
          <w:r>
            <w:rPr>
              <w:sz w:val="32"/>
              <w:szCs w:val="36"/>
            </w:rPr>
            <w:fldChar w:fldCharType="separate"/>
          </w:r>
          <w:r>
            <w:rPr>
              <w:sz w:val="32"/>
              <w:szCs w:val="36"/>
            </w:rPr>
            <w:t>69</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_Toc11373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6.3学校治理</w:t>
          </w:r>
          <w:r>
            <w:rPr>
              <w:sz w:val="32"/>
              <w:szCs w:val="36"/>
            </w:rPr>
            <w:tab/>
          </w:r>
          <w:r>
            <w:rPr>
              <w:sz w:val="32"/>
              <w:szCs w:val="36"/>
            </w:rPr>
            <w:fldChar w:fldCharType="begin"/>
          </w:r>
          <w:r>
            <w:rPr>
              <w:sz w:val="32"/>
              <w:szCs w:val="36"/>
            </w:rPr>
            <w:instrText xml:space="preserve"> PAGEREF _Toc11373 \h </w:instrText>
          </w:r>
          <w:r>
            <w:rPr>
              <w:sz w:val="32"/>
              <w:szCs w:val="36"/>
            </w:rPr>
            <w:fldChar w:fldCharType="separate"/>
          </w:r>
          <w:r>
            <w:rPr>
              <w:sz w:val="32"/>
              <w:szCs w:val="36"/>
            </w:rPr>
            <w:t>70</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_Toc108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6.3.1教学管理</w:t>
          </w:r>
          <w:r>
            <w:rPr>
              <w:sz w:val="32"/>
              <w:szCs w:val="36"/>
            </w:rPr>
            <w:tab/>
          </w:r>
          <w:r>
            <w:rPr>
              <w:sz w:val="32"/>
              <w:szCs w:val="36"/>
            </w:rPr>
            <w:fldChar w:fldCharType="begin"/>
          </w:r>
          <w:r>
            <w:rPr>
              <w:sz w:val="32"/>
              <w:szCs w:val="36"/>
            </w:rPr>
            <w:instrText xml:space="preserve"> PAGEREF _Toc108 \h </w:instrText>
          </w:r>
          <w:r>
            <w:rPr>
              <w:sz w:val="32"/>
              <w:szCs w:val="36"/>
            </w:rPr>
            <w:fldChar w:fldCharType="separate"/>
          </w:r>
          <w:r>
            <w:rPr>
              <w:sz w:val="32"/>
              <w:szCs w:val="36"/>
            </w:rPr>
            <w:t>70</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_Toc24966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6.3.2实习管理</w:t>
          </w:r>
          <w:r>
            <w:rPr>
              <w:sz w:val="32"/>
              <w:szCs w:val="36"/>
            </w:rPr>
            <w:tab/>
          </w:r>
          <w:r>
            <w:rPr>
              <w:sz w:val="32"/>
              <w:szCs w:val="36"/>
            </w:rPr>
            <w:fldChar w:fldCharType="begin"/>
          </w:r>
          <w:r>
            <w:rPr>
              <w:sz w:val="32"/>
              <w:szCs w:val="36"/>
            </w:rPr>
            <w:instrText xml:space="preserve"> PAGEREF _Toc24966 \h </w:instrText>
          </w:r>
          <w:r>
            <w:rPr>
              <w:sz w:val="32"/>
              <w:szCs w:val="36"/>
            </w:rPr>
            <w:fldChar w:fldCharType="separate"/>
          </w:r>
          <w:r>
            <w:rPr>
              <w:sz w:val="32"/>
              <w:szCs w:val="36"/>
            </w:rPr>
            <w:t>70</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_Toc15782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6.3.3学生管理</w:t>
          </w:r>
          <w:r>
            <w:rPr>
              <w:sz w:val="32"/>
              <w:szCs w:val="36"/>
            </w:rPr>
            <w:tab/>
          </w:r>
          <w:r>
            <w:rPr>
              <w:sz w:val="32"/>
              <w:szCs w:val="36"/>
            </w:rPr>
            <w:fldChar w:fldCharType="begin"/>
          </w:r>
          <w:r>
            <w:rPr>
              <w:sz w:val="32"/>
              <w:szCs w:val="36"/>
            </w:rPr>
            <w:instrText xml:space="preserve"> PAGEREF _Toc15782 \h </w:instrText>
          </w:r>
          <w:r>
            <w:rPr>
              <w:sz w:val="32"/>
              <w:szCs w:val="36"/>
            </w:rPr>
            <w:fldChar w:fldCharType="separate"/>
          </w:r>
          <w:r>
            <w:rPr>
              <w:sz w:val="32"/>
              <w:szCs w:val="36"/>
            </w:rPr>
            <w:t>71</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_Toc9964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6.3.4财务管理</w:t>
          </w:r>
          <w:r>
            <w:rPr>
              <w:sz w:val="32"/>
              <w:szCs w:val="36"/>
            </w:rPr>
            <w:tab/>
          </w:r>
          <w:r>
            <w:rPr>
              <w:sz w:val="32"/>
              <w:szCs w:val="36"/>
            </w:rPr>
            <w:fldChar w:fldCharType="begin"/>
          </w:r>
          <w:r>
            <w:rPr>
              <w:sz w:val="32"/>
              <w:szCs w:val="36"/>
            </w:rPr>
            <w:instrText xml:space="preserve"> PAGEREF _Toc9964 \h </w:instrText>
          </w:r>
          <w:r>
            <w:rPr>
              <w:sz w:val="32"/>
              <w:szCs w:val="36"/>
            </w:rPr>
            <w:fldChar w:fldCharType="separate"/>
          </w:r>
          <w:r>
            <w:rPr>
              <w:sz w:val="32"/>
              <w:szCs w:val="36"/>
            </w:rPr>
            <w:t>71</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_Toc15962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6.3.5安全管理</w:t>
          </w:r>
          <w:r>
            <w:rPr>
              <w:sz w:val="32"/>
              <w:szCs w:val="36"/>
            </w:rPr>
            <w:tab/>
          </w:r>
          <w:r>
            <w:rPr>
              <w:sz w:val="32"/>
              <w:szCs w:val="36"/>
            </w:rPr>
            <w:fldChar w:fldCharType="begin"/>
          </w:r>
          <w:r>
            <w:rPr>
              <w:sz w:val="32"/>
              <w:szCs w:val="36"/>
            </w:rPr>
            <w:instrText xml:space="preserve"> PAGEREF _Toc15962 \h </w:instrText>
          </w:r>
          <w:r>
            <w:rPr>
              <w:sz w:val="32"/>
              <w:szCs w:val="36"/>
            </w:rPr>
            <w:fldChar w:fldCharType="separate"/>
          </w:r>
          <w:r>
            <w:rPr>
              <w:sz w:val="32"/>
              <w:szCs w:val="36"/>
            </w:rPr>
            <w:t>72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_Toc22977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6.3.6疫情防控</w:t>
          </w:r>
          <w:r>
            <w:rPr>
              <w:sz w:val="32"/>
              <w:szCs w:val="36"/>
            </w:rPr>
            <w:tab/>
          </w:r>
          <w:r>
            <w:rPr>
              <w:sz w:val="32"/>
              <w:szCs w:val="36"/>
            </w:rPr>
            <w:fldChar w:fldCharType="begin"/>
          </w:r>
          <w:r>
            <w:rPr>
              <w:sz w:val="32"/>
              <w:szCs w:val="36"/>
            </w:rPr>
            <w:instrText xml:space="preserve"> PAGEREF _Toc22977 \h </w:instrText>
          </w:r>
          <w:r>
            <w:rPr>
              <w:sz w:val="32"/>
              <w:szCs w:val="36"/>
            </w:rPr>
            <w:fldChar w:fldCharType="separate"/>
          </w:r>
          <w:r>
            <w:rPr>
              <w:sz w:val="32"/>
              <w:szCs w:val="36"/>
            </w:rPr>
            <w:t>72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_Toc4140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6.4质量保证体系建设</w:t>
          </w:r>
          <w:r>
            <w:rPr>
              <w:sz w:val="32"/>
              <w:szCs w:val="36"/>
            </w:rPr>
            <w:tab/>
          </w:r>
          <w:r>
            <w:rPr>
              <w:sz w:val="32"/>
              <w:szCs w:val="36"/>
            </w:rPr>
            <w:fldChar w:fldCharType="begin"/>
          </w:r>
          <w:r>
            <w:rPr>
              <w:sz w:val="32"/>
              <w:szCs w:val="36"/>
            </w:rPr>
            <w:instrText xml:space="preserve"> PAGEREF _Toc4140 \h </w:instrText>
          </w:r>
          <w:r>
            <w:rPr>
              <w:sz w:val="32"/>
              <w:szCs w:val="36"/>
            </w:rPr>
            <w:fldChar w:fldCharType="separate"/>
          </w:r>
          <w:r>
            <w:rPr>
              <w:sz w:val="32"/>
              <w:szCs w:val="36"/>
            </w:rPr>
            <w:t>72</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_Toc2552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6.4.1 完善制度、目标和标准体系， 打造“三链”</w:t>
          </w:r>
          <w:r>
            <w:rPr>
              <w:sz w:val="32"/>
              <w:szCs w:val="36"/>
            </w:rPr>
            <w:tab/>
          </w:r>
          <w:r>
            <w:rPr>
              <w:sz w:val="32"/>
              <w:szCs w:val="36"/>
            </w:rPr>
            <w:fldChar w:fldCharType="begin"/>
          </w:r>
          <w:r>
            <w:rPr>
              <w:sz w:val="32"/>
              <w:szCs w:val="36"/>
            </w:rPr>
            <w:instrText xml:space="preserve"> PAGEREF _Toc2552 \h </w:instrText>
          </w:r>
          <w:r>
            <w:rPr>
              <w:sz w:val="32"/>
              <w:szCs w:val="36"/>
            </w:rPr>
            <w:fldChar w:fldCharType="separate"/>
          </w:r>
          <w:r>
            <w:rPr>
              <w:sz w:val="32"/>
              <w:szCs w:val="36"/>
            </w:rPr>
            <w:t>73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_Toc24732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6.4.2 分步实施，建设人才培养质量保证体系平台</w:t>
          </w:r>
          <w:r>
            <w:rPr>
              <w:sz w:val="32"/>
              <w:szCs w:val="36"/>
            </w:rPr>
            <w:tab/>
          </w:r>
          <w:r>
            <w:rPr>
              <w:sz w:val="32"/>
              <w:szCs w:val="36"/>
            </w:rPr>
            <w:fldChar w:fldCharType="begin"/>
          </w:r>
          <w:r>
            <w:rPr>
              <w:sz w:val="32"/>
              <w:szCs w:val="36"/>
            </w:rPr>
            <w:instrText xml:space="preserve"> PAGEREF _Toc24732 \h </w:instrText>
          </w:r>
          <w:r>
            <w:rPr>
              <w:sz w:val="32"/>
              <w:szCs w:val="36"/>
            </w:rPr>
            <w:fldChar w:fldCharType="separate"/>
          </w:r>
          <w:r>
            <w:rPr>
              <w:sz w:val="32"/>
              <w:szCs w:val="36"/>
            </w:rPr>
            <w:t>73</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_Toc32518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6.4.3 分层培育， 形成现代校园质量文化</w:t>
          </w:r>
          <w:r>
            <w:rPr>
              <w:sz w:val="32"/>
              <w:szCs w:val="36"/>
            </w:rPr>
            <w:tab/>
          </w:r>
          <w:r>
            <w:rPr>
              <w:sz w:val="32"/>
              <w:szCs w:val="36"/>
            </w:rPr>
            <w:fldChar w:fldCharType="begin"/>
          </w:r>
          <w:r>
            <w:rPr>
              <w:sz w:val="32"/>
              <w:szCs w:val="36"/>
            </w:rPr>
            <w:instrText xml:space="preserve"> PAGEREF _Toc32518 \h </w:instrText>
          </w:r>
          <w:r>
            <w:rPr>
              <w:sz w:val="32"/>
              <w:szCs w:val="36"/>
            </w:rPr>
            <w:fldChar w:fldCharType="separate"/>
          </w:r>
          <w:r>
            <w:rPr>
              <w:sz w:val="32"/>
              <w:szCs w:val="36"/>
            </w:rPr>
            <w:t>74</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_Toc12664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6.5经费投入</w:t>
          </w:r>
          <w:r>
            <w:rPr>
              <w:sz w:val="32"/>
              <w:szCs w:val="36"/>
            </w:rPr>
            <w:tab/>
          </w:r>
          <w:r>
            <w:rPr>
              <w:sz w:val="32"/>
              <w:szCs w:val="36"/>
            </w:rPr>
            <w:fldChar w:fldCharType="begin"/>
          </w:r>
          <w:r>
            <w:rPr>
              <w:sz w:val="32"/>
              <w:szCs w:val="36"/>
            </w:rPr>
            <w:instrText xml:space="preserve"> PAGEREF _Toc12664 \h </w:instrText>
          </w:r>
          <w:r>
            <w:rPr>
              <w:sz w:val="32"/>
              <w:szCs w:val="36"/>
            </w:rPr>
            <w:fldChar w:fldCharType="separate"/>
          </w:r>
          <w:r>
            <w:rPr>
              <w:sz w:val="32"/>
              <w:szCs w:val="36"/>
            </w:rPr>
            <w:t>75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_Toc21250 </w:instrText>
          </w:r>
          <w:r>
            <w:rPr>
              <w:rFonts w:hint="eastAsia" w:ascii="方正小标宋简体" w:hAnsi="宋体" w:eastAsia="方正小标宋简体" w:cs="宋体"/>
              <w:bCs/>
              <w:kern w:val="0"/>
              <w:sz w:val="32"/>
              <w:szCs w:val="144"/>
            </w:rPr>
            <w:fldChar w:fldCharType="separate"/>
          </w:r>
          <w:r>
            <w:rPr>
              <w:rFonts w:hint="eastAsia" w:ascii="黑体" w:hAnsi="黑体" w:eastAsia="黑体" w:cs="黑体"/>
              <w:bCs/>
              <w:spacing w:val="0"/>
              <w:w w:val="100"/>
              <w:kern w:val="2"/>
              <w:position w:val="0"/>
              <w:sz w:val="32"/>
              <w:szCs w:val="48"/>
              <w:shd w:val="clear" w:color="auto" w:fill="auto"/>
              <w:lang w:val="en-US" w:eastAsia="zh-CN" w:bidi="zh-TW"/>
            </w:rPr>
            <w:t>7.面临挑战</w:t>
          </w:r>
          <w:r>
            <w:rPr>
              <w:sz w:val="32"/>
              <w:szCs w:val="36"/>
            </w:rPr>
            <w:tab/>
          </w:r>
          <w:r>
            <w:rPr>
              <w:sz w:val="32"/>
              <w:szCs w:val="36"/>
            </w:rPr>
            <w:fldChar w:fldCharType="begin"/>
          </w:r>
          <w:r>
            <w:rPr>
              <w:sz w:val="32"/>
              <w:szCs w:val="36"/>
            </w:rPr>
            <w:instrText xml:space="preserve"> PAGEREF _Toc21250 \h </w:instrText>
          </w:r>
          <w:r>
            <w:rPr>
              <w:sz w:val="32"/>
              <w:szCs w:val="36"/>
            </w:rPr>
            <w:fldChar w:fldCharType="separate"/>
          </w:r>
          <w:r>
            <w:rPr>
              <w:sz w:val="32"/>
              <w:szCs w:val="36"/>
            </w:rPr>
            <w:t>75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_Toc24050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7.1主要问题</w:t>
          </w:r>
          <w:r>
            <w:rPr>
              <w:sz w:val="32"/>
              <w:szCs w:val="36"/>
            </w:rPr>
            <w:tab/>
          </w:r>
          <w:r>
            <w:rPr>
              <w:sz w:val="32"/>
              <w:szCs w:val="36"/>
            </w:rPr>
            <w:fldChar w:fldCharType="begin"/>
          </w:r>
          <w:r>
            <w:rPr>
              <w:sz w:val="32"/>
              <w:szCs w:val="36"/>
            </w:rPr>
            <w:instrText xml:space="preserve"> PAGEREF _Toc24050 \h </w:instrText>
          </w:r>
          <w:r>
            <w:rPr>
              <w:sz w:val="32"/>
              <w:szCs w:val="36"/>
            </w:rPr>
            <w:fldChar w:fldCharType="separate"/>
          </w:r>
          <w:r>
            <w:rPr>
              <w:sz w:val="32"/>
              <w:szCs w:val="36"/>
            </w:rPr>
            <w:t>75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_Toc24554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7.1.1高水平双师型师资队伍建设亟待强化</w:t>
          </w:r>
          <w:r>
            <w:rPr>
              <w:sz w:val="32"/>
              <w:szCs w:val="36"/>
            </w:rPr>
            <w:tab/>
          </w:r>
          <w:r>
            <w:rPr>
              <w:sz w:val="32"/>
              <w:szCs w:val="36"/>
            </w:rPr>
            <w:fldChar w:fldCharType="begin"/>
          </w:r>
          <w:r>
            <w:rPr>
              <w:sz w:val="32"/>
              <w:szCs w:val="36"/>
            </w:rPr>
            <w:instrText xml:space="preserve"> PAGEREF _Toc24554 \h </w:instrText>
          </w:r>
          <w:r>
            <w:rPr>
              <w:sz w:val="32"/>
              <w:szCs w:val="36"/>
            </w:rPr>
            <w:fldChar w:fldCharType="separate"/>
          </w:r>
          <w:r>
            <w:rPr>
              <w:sz w:val="32"/>
              <w:szCs w:val="36"/>
            </w:rPr>
            <w:t>75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_Toc22750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7.1.2专业特色不明显</w:t>
          </w:r>
          <w:r>
            <w:rPr>
              <w:sz w:val="32"/>
              <w:szCs w:val="36"/>
            </w:rPr>
            <w:tab/>
          </w:r>
          <w:r>
            <w:rPr>
              <w:sz w:val="32"/>
              <w:szCs w:val="36"/>
            </w:rPr>
            <w:fldChar w:fldCharType="begin"/>
          </w:r>
          <w:r>
            <w:rPr>
              <w:sz w:val="32"/>
              <w:szCs w:val="36"/>
            </w:rPr>
            <w:instrText xml:space="preserve"> PAGEREF _Toc22750 \h </w:instrText>
          </w:r>
          <w:r>
            <w:rPr>
              <w:sz w:val="32"/>
              <w:szCs w:val="36"/>
            </w:rPr>
            <w:fldChar w:fldCharType="separate"/>
          </w:r>
          <w:r>
            <w:rPr>
              <w:sz w:val="32"/>
              <w:szCs w:val="36"/>
            </w:rPr>
            <w:t>75</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_Toc26804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7.1.3教学诊改有待于进一步提高</w:t>
          </w:r>
          <w:r>
            <w:rPr>
              <w:sz w:val="32"/>
              <w:szCs w:val="36"/>
            </w:rPr>
            <w:tab/>
          </w:r>
          <w:r>
            <w:rPr>
              <w:sz w:val="32"/>
              <w:szCs w:val="36"/>
            </w:rPr>
            <w:fldChar w:fldCharType="begin"/>
          </w:r>
          <w:r>
            <w:rPr>
              <w:sz w:val="32"/>
              <w:szCs w:val="36"/>
            </w:rPr>
            <w:instrText xml:space="preserve"> PAGEREF _Toc26804 \h </w:instrText>
          </w:r>
          <w:r>
            <w:rPr>
              <w:sz w:val="32"/>
              <w:szCs w:val="36"/>
            </w:rPr>
            <w:fldChar w:fldCharType="separate"/>
          </w:r>
          <w:r>
            <w:rPr>
              <w:sz w:val="32"/>
              <w:szCs w:val="36"/>
            </w:rPr>
            <w:t>76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_Toc5010 </w:instrText>
          </w:r>
          <w:r>
            <w:rPr>
              <w:rFonts w:hint="eastAsia" w:ascii="方正小标宋简体" w:hAnsi="宋体" w:eastAsia="方正小标宋简体" w:cs="宋体"/>
              <w:bCs/>
              <w:kern w:val="0"/>
              <w:sz w:val="32"/>
              <w:szCs w:val="144"/>
            </w:rPr>
            <w:fldChar w:fldCharType="separate"/>
          </w:r>
          <w:r>
            <w:rPr>
              <w:rFonts w:hint="eastAsia" w:ascii="楷体_GB2312" w:hAnsi="楷体_GB2312" w:eastAsia="楷体_GB2312" w:cs="楷体_GB2312"/>
              <w:bCs/>
              <w:spacing w:val="0"/>
              <w:w w:val="100"/>
              <w:kern w:val="2"/>
              <w:position w:val="0"/>
              <w:sz w:val="32"/>
              <w:szCs w:val="48"/>
              <w:shd w:val="clear" w:color="auto" w:fill="auto"/>
              <w:lang w:val="en-US" w:eastAsia="zh-CN" w:bidi="zh-TW"/>
            </w:rPr>
            <w:t>7.2改进措施</w:t>
          </w:r>
          <w:r>
            <w:rPr>
              <w:sz w:val="32"/>
              <w:szCs w:val="36"/>
            </w:rPr>
            <w:tab/>
          </w:r>
          <w:r>
            <w:rPr>
              <w:sz w:val="32"/>
              <w:szCs w:val="36"/>
            </w:rPr>
            <w:fldChar w:fldCharType="begin"/>
          </w:r>
          <w:r>
            <w:rPr>
              <w:sz w:val="32"/>
              <w:szCs w:val="36"/>
            </w:rPr>
            <w:instrText xml:space="preserve"> PAGEREF _Toc5010 \h </w:instrText>
          </w:r>
          <w:r>
            <w:rPr>
              <w:sz w:val="32"/>
              <w:szCs w:val="36"/>
            </w:rPr>
            <w:fldChar w:fldCharType="separate"/>
          </w:r>
          <w:r>
            <w:rPr>
              <w:sz w:val="32"/>
              <w:szCs w:val="36"/>
            </w:rPr>
            <w:t>76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_Toc3012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7.2.1强化校企合作、产教融合</w:t>
          </w:r>
          <w:r>
            <w:rPr>
              <w:sz w:val="32"/>
              <w:szCs w:val="36"/>
            </w:rPr>
            <w:tab/>
          </w:r>
          <w:r>
            <w:rPr>
              <w:sz w:val="32"/>
              <w:szCs w:val="36"/>
            </w:rPr>
            <w:fldChar w:fldCharType="begin"/>
          </w:r>
          <w:r>
            <w:rPr>
              <w:sz w:val="32"/>
              <w:szCs w:val="36"/>
            </w:rPr>
            <w:instrText xml:space="preserve"> PAGEREF _Toc3012 \h </w:instrText>
          </w:r>
          <w:r>
            <w:rPr>
              <w:sz w:val="32"/>
              <w:szCs w:val="36"/>
            </w:rPr>
            <w:fldChar w:fldCharType="separate"/>
          </w:r>
          <w:r>
            <w:rPr>
              <w:sz w:val="32"/>
              <w:szCs w:val="36"/>
            </w:rPr>
            <w:t>76</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32"/>
              <w:szCs w:val="36"/>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_Toc24827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7.2.2深入推进教学诊改工作</w:t>
          </w:r>
          <w:r>
            <w:rPr>
              <w:sz w:val="32"/>
              <w:szCs w:val="36"/>
            </w:rPr>
            <w:tab/>
          </w:r>
          <w:r>
            <w:rPr>
              <w:sz w:val="32"/>
              <w:szCs w:val="36"/>
            </w:rPr>
            <w:fldChar w:fldCharType="begin"/>
          </w:r>
          <w:r>
            <w:rPr>
              <w:sz w:val="32"/>
              <w:szCs w:val="36"/>
            </w:rPr>
            <w:instrText xml:space="preserve"> PAGEREF _Toc24827 \h </w:instrText>
          </w:r>
          <w:r>
            <w:rPr>
              <w:sz w:val="32"/>
              <w:szCs w:val="36"/>
            </w:rPr>
            <w:fldChar w:fldCharType="separate"/>
          </w:r>
          <w:r>
            <w:rPr>
              <w:sz w:val="32"/>
              <w:szCs w:val="36"/>
            </w:rPr>
            <w:t>77</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600" w:lineRule="exact"/>
            <w:textAlignment w:val="auto"/>
            <w:rPr>
              <w:sz w:val="24"/>
              <w:szCs w:val="28"/>
            </w:rPr>
          </w:pPr>
          <w:r>
            <w:rPr>
              <w:rFonts w:hint="eastAsia" w:ascii="方正小标宋简体" w:hAnsi="宋体" w:eastAsia="方正小标宋简体" w:cs="宋体"/>
              <w:bCs/>
              <w:color w:val="333333"/>
              <w:kern w:val="0"/>
              <w:sz w:val="32"/>
              <w:szCs w:val="144"/>
            </w:rPr>
            <w:fldChar w:fldCharType="begin"/>
          </w:r>
          <w:r>
            <w:rPr>
              <w:rFonts w:hint="eastAsia" w:ascii="方正小标宋简体" w:hAnsi="宋体" w:eastAsia="方正小标宋简体" w:cs="宋体"/>
              <w:bCs/>
              <w:kern w:val="0"/>
              <w:sz w:val="32"/>
              <w:szCs w:val="144"/>
            </w:rPr>
            <w:instrText xml:space="preserve"> HYPERLINK \l _Toc28516 </w:instrText>
          </w:r>
          <w:r>
            <w:rPr>
              <w:rFonts w:hint="eastAsia" w:ascii="方正小标宋简体" w:hAnsi="宋体" w:eastAsia="方正小标宋简体" w:cs="宋体"/>
              <w:bCs/>
              <w:kern w:val="0"/>
              <w:sz w:val="32"/>
              <w:szCs w:val="144"/>
            </w:rPr>
            <w:fldChar w:fldCharType="separate"/>
          </w:r>
          <w:r>
            <w:rPr>
              <w:rFonts w:hint="eastAsia" w:ascii="仿宋_GB2312" w:hAnsi="仿宋_GB2312" w:eastAsia="仿宋_GB2312" w:cs="仿宋_GB2312"/>
              <w:bCs/>
              <w:kern w:val="0"/>
              <w:sz w:val="32"/>
              <w:szCs w:val="48"/>
              <w:lang w:val="en-US" w:eastAsia="zh-CN" w:bidi="ar-SA"/>
            </w:rPr>
            <w:t>7.2.3加强教师队伍建设</w:t>
          </w:r>
          <w:r>
            <w:rPr>
              <w:sz w:val="32"/>
              <w:szCs w:val="36"/>
            </w:rPr>
            <w:tab/>
          </w:r>
          <w:r>
            <w:rPr>
              <w:sz w:val="32"/>
              <w:szCs w:val="36"/>
            </w:rPr>
            <w:fldChar w:fldCharType="begin"/>
          </w:r>
          <w:r>
            <w:rPr>
              <w:sz w:val="32"/>
              <w:szCs w:val="36"/>
            </w:rPr>
            <w:instrText xml:space="preserve"> PAGEREF _Toc28516 \h </w:instrText>
          </w:r>
          <w:r>
            <w:rPr>
              <w:sz w:val="32"/>
              <w:szCs w:val="36"/>
            </w:rPr>
            <w:fldChar w:fldCharType="separate"/>
          </w:r>
          <w:r>
            <w:rPr>
              <w:sz w:val="32"/>
              <w:szCs w:val="36"/>
            </w:rPr>
            <w:t>77</w:t>
          </w:r>
          <w:r>
            <w:rPr>
              <w:sz w:val="32"/>
              <w:szCs w:val="36"/>
            </w:rPr>
            <w:fldChar w:fldCharType="end"/>
          </w:r>
          <w:r>
            <w:rPr>
              <w:rFonts w:hint="eastAsia" w:ascii="方正小标宋简体" w:hAnsi="宋体" w:eastAsia="方正小标宋简体" w:cs="宋体"/>
              <w:bCs/>
              <w:color w:val="333333"/>
              <w:kern w:val="0"/>
              <w:sz w:val="32"/>
              <w:szCs w:val="144"/>
            </w:rPr>
            <w:fldChar w:fldCharType="end"/>
          </w:r>
        </w:p>
        <w:p>
          <w:pPr>
            <w:keepNext w:val="0"/>
            <w:keepLines w:val="0"/>
            <w:pageBreakBefore w:val="0"/>
            <w:widowControl/>
            <w:kinsoku/>
            <w:wordWrap/>
            <w:overflowPunct/>
            <w:topLinePunct w:val="0"/>
            <w:autoSpaceDE/>
            <w:autoSpaceDN/>
            <w:bidi w:val="0"/>
            <w:adjustRightInd/>
            <w:snapToGrid/>
            <w:spacing w:before="312" w:beforeLines="100" w:after="312" w:afterLines="100" w:line="440" w:lineRule="exact"/>
            <w:jc w:val="both"/>
            <w:textAlignment w:val="auto"/>
            <w:outlineLvl w:val="9"/>
            <w:rPr>
              <w:rFonts w:hint="eastAsia" w:ascii="方正小标宋简体" w:hAnsi="宋体" w:eastAsia="方正小标宋简体" w:cs="宋体"/>
              <w:b/>
              <w:bCs/>
              <w:color w:val="333333"/>
              <w:kern w:val="0"/>
              <w:sz w:val="44"/>
              <w:szCs w:val="44"/>
            </w:rPr>
          </w:pPr>
          <w:r>
            <w:rPr>
              <w:rFonts w:hint="eastAsia" w:ascii="方正小标宋简体" w:hAnsi="宋体" w:eastAsia="方正小标宋简体" w:cs="宋体"/>
              <w:bCs/>
              <w:color w:val="333333"/>
              <w:kern w:val="0"/>
              <w:szCs w:val="52"/>
            </w:rPr>
            <w:fldChar w:fldCharType="end"/>
          </w:r>
        </w:p>
      </w:sdtContent>
    </w:sdt>
    <w:p>
      <w:pPr>
        <w:pStyle w:val="4"/>
        <w:bidi w:val="0"/>
        <w:rPr>
          <w:rFonts w:hint="eastAsia" w:ascii="黑体" w:hAnsi="黑体" w:cs="黑体"/>
          <w:sz w:val="32"/>
          <w:szCs w:val="32"/>
          <w:lang w:val="en-US" w:eastAsia="zh-CN"/>
        </w:rPr>
      </w:pPr>
      <w:bookmarkStart w:id="0" w:name="_Toc27990"/>
      <w:bookmarkStart w:id="1" w:name="_Toc32103"/>
      <w:r>
        <w:rPr>
          <w:rFonts w:hint="eastAsia" w:ascii="黑体" w:hAnsi="黑体" w:cs="黑体"/>
          <w:sz w:val="32"/>
          <w:szCs w:val="32"/>
          <w:lang w:val="en-US" w:eastAsia="zh-CN"/>
        </w:rPr>
        <w:t>前言</w:t>
      </w:r>
      <w:bookmarkEnd w:id="0"/>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zh-TW" w:eastAsia="zh-TW" w:bidi="zh-TW"/>
        </w:rPr>
      </w:pPr>
      <w:bookmarkStart w:id="2" w:name="_Toc16084"/>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1.1</w:t>
      </w:r>
      <w:r>
        <w:rPr>
          <w:rFonts w:hint="eastAsia" w:ascii="楷体_GB2312" w:hAnsi="楷体_GB2312" w:eastAsia="楷体_GB2312" w:cs="楷体_GB2312"/>
          <w:b/>
          <w:bCs/>
          <w:color w:val="000000"/>
          <w:spacing w:val="0"/>
          <w:w w:val="100"/>
          <w:kern w:val="2"/>
          <w:position w:val="0"/>
          <w:sz w:val="32"/>
          <w:szCs w:val="32"/>
          <w:u w:val="none"/>
          <w:shd w:val="clear" w:color="auto" w:fill="auto"/>
          <w:lang w:val="zh-TW" w:eastAsia="zh-TW" w:bidi="zh-TW"/>
        </w:rPr>
        <w:t>办学历史</w:t>
      </w:r>
      <w:bookmarkEnd w:id="2"/>
    </w:p>
    <w:p>
      <w:pPr>
        <w:ind w:firstLine="640" w:firstLineChars="200"/>
        <w:rPr>
          <w:rFonts w:ascii="仿宋_GB2312" w:hAnsi="仿宋_GB2312" w:eastAsia="仿宋_GB2312" w:cs="仿宋_GB2312"/>
          <w:color w:val="000000"/>
          <w:sz w:val="32"/>
          <w:szCs w:val="32"/>
        </w:rPr>
      </w:pPr>
      <w:r>
        <w:rPr>
          <w:rFonts w:hint="eastAsia" w:ascii="仿宋_GB2312" w:hAnsi="仿宋_GB2312" w:eastAsia="仿宋_GB2312" w:cs="仿宋_GB2312"/>
          <w:sz w:val="32"/>
          <w:szCs w:val="32"/>
        </w:rPr>
        <w:t>鹰潭应用工程学校是经江西省人民政府批准成立的公办全日制重点中等专业学校。学校</w:t>
      </w:r>
      <w:r>
        <w:rPr>
          <w:rFonts w:ascii="仿宋_GB2312" w:hAnsi="仿宋_GB2312" w:eastAsia="仿宋_GB2312" w:cs="仿宋_GB2312"/>
          <w:sz w:val="32"/>
          <w:szCs w:val="32"/>
        </w:rPr>
        <w:t>创办于1958年，前身是鹰潭农校，2003年更名为</w:t>
      </w:r>
      <w:r>
        <w:rPr>
          <w:rFonts w:hint="eastAsia" w:ascii="仿宋_GB2312" w:hAnsi="仿宋_GB2312" w:eastAsia="仿宋_GB2312" w:cs="仿宋_GB2312"/>
          <w:sz w:val="32"/>
          <w:szCs w:val="32"/>
        </w:rPr>
        <w:t>鹰潭</w:t>
      </w:r>
      <w:r>
        <w:rPr>
          <w:rFonts w:ascii="仿宋_GB2312" w:hAnsi="仿宋_GB2312" w:eastAsia="仿宋_GB2312" w:cs="仿宋_GB2312"/>
          <w:sz w:val="32"/>
          <w:szCs w:val="32"/>
        </w:rPr>
        <w:t>应用工程学校。2020年鹰潭市市直公办职业教育资源整合，重新组建鹰潭应用工程学校，由</w:t>
      </w:r>
      <w:r>
        <w:rPr>
          <w:rFonts w:hint="eastAsia" w:ascii="仿宋_GB2312" w:hAnsi="仿宋_GB2312" w:eastAsia="仿宋_GB2312" w:cs="仿宋_GB2312"/>
          <w:sz w:val="32"/>
          <w:szCs w:val="32"/>
          <w:lang w:val="en-US" w:eastAsia="zh-CN"/>
        </w:rPr>
        <w:t>市委</w:t>
      </w:r>
      <w:r>
        <w:rPr>
          <w:rFonts w:ascii="仿宋_GB2312" w:hAnsi="仿宋_GB2312" w:eastAsia="仿宋_GB2312" w:cs="仿宋_GB2312"/>
          <w:sz w:val="32"/>
          <w:szCs w:val="32"/>
        </w:rPr>
        <w:t>市政府委托余江区管理办学，成为市</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区共建的市属中专院校。</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zh-TW" w:eastAsia="zh-TW" w:bidi="zh-TW"/>
        </w:rPr>
      </w:pPr>
      <w:bookmarkStart w:id="3" w:name="_Toc27047"/>
      <w:bookmarkStart w:id="4" w:name="_Toc9733"/>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1.2</w:t>
      </w:r>
      <w:r>
        <w:rPr>
          <w:rFonts w:hint="eastAsia" w:ascii="楷体_GB2312" w:hAnsi="楷体_GB2312" w:eastAsia="楷体_GB2312" w:cs="楷体_GB2312"/>
          <w:b/>
          <w:bCs/>
          <w:color w:val="000000"/>
          <w:spacing w:val="0"/>
          <w:w w:val="100"/>
          <w:kern w:val="2"/>
          <w:position w:val="0"/>
          <w:sz w:val="32"/>
          <w:szCs w:val="32"/>
          <w:u w:val="none"/>
          <w:shd w:val="clear" w:color="auto" w:fill="auto"/>
          <w:lang w:val="zh-TW" w:eastAsia="zh-TW" w:bidi="zh-TW"/>
        </w:rPr>
        <w:t>办学理念</w:t>
      </w:r>
      <w:bookmarkEnd w:id="3"/>
      <w:bookmarkEnd w:id="4"/>
    </w:p>
    <w:p>
      <w:pPr>
        <w:pStyle w:val="14"/>
        <w:spacing w:line="600" w:lineRule="exact"/>
        <w:ind w:firstLine="640" w:firstLineChars="200"/>
        <w:jc w:val="both"/>
        <w:rPr>
          <w:rFonts w:ascii="仿宋_GB2312" w:hAnsi="仿宋_GB2312" w:eastAsia="仿宋_GB2312" w:cs="仿宋_GB2312"/>
          <w:color w:val="0C0C0C"/>
          <w:sz w:val="32"/>
          <w:szCs w:val="32"/>
        </w:rPr>
      </w:pPr>
      <w:r>
        <w:rPr>
          <w:rFonts w:hint="eastAsia" w:ascii="仿宋_GB2312" w:eastAsia="仿宋_GB2312"/>
          <w:color w:val="000000"/>
          <w:sz w:val="32"/>
          <w:szCs w:val="32"/>
        </w:rPr>
        <w:t>学校坚持以习近平新时代中国特色社会主义思想为指导，深入贯彻落实党的</w:t>
      </w:r>
      <w:r>
        <w:rPr>
          <w:rFonts w:hint="eastAsia" w:ascii="仿宋_GB2312" w:eastAsia="仿宋_GB2312"/>
          <w:color w:val="000000"/>
          <w:sz w:val="32"/>
          <w:szCs w:val="32"/>
          <w:lang w:val="en-US" w:eastAsia="zh-CN"/>
        </w:rPr>
        <w:t>二十大会议</w:t>
      </w:r>
      <w:r>
        <w:rPr>
          <w:rFonts w:hint="eastAsia" w:ascii="仿宋_GB2312" w:eastAsia="仿宋_GB2312"/>
          <w:color w:val="000000"/>
          <w:sz w:val="32"/>
          <w:szCs w:val="32"/>
        </w:rPr>
        <w:t>精神，</w:t>
      </w:r>
      <w:r>
        <w:rPr>
          <w:rFonts w:hint="eastAsia" w:ascii="仿宋_GB2312" w:hAnsi="仿宋_GB2312" w:eastAsia="仿宋_GB2312" w:cs="仿宋_GB2312"/>
          <w:color w:val="0C0C0C"/>
          <w:sz w:val="32"/>
          <w:szCs w:val="32"/>
        </w:rPr>
        <w:t>全面落实《国家职业教育改革实施方案》和部省共建职教创新发展高地的要求，</w:t>
      </w:r>
      <w:r>
        <w:rPr>
          <w:rFonts w:hint="eastAsia" w:ascii="仿宋_GB2312" w:eastAsia="仿宋_GB2312"/>
          <w:sz w:val="32"/>
          <w:szCs w:val="32"/>
        </w:rPr>
        <w:t>确定“强基础提质量”、</w:t>
      </w:r>
      <w:r>
        <w:rPr>
          <w:rFonts w:hint="eastAsia" w:ascii="仿宋_GB2312" w:hAnsi="仿宋_GB2312" w:eastAsia="仿宋_GB2312" w:cs="仿宋_GB2312"/>
          <w:color w:val="000000"/>
          <w:sz w:val="32"/>
          <w:szCs w:val="32"/>
        </w:rPr>
        <w:t>“培优势树品牌”、“扩规模创一流”的发展</w:t>
      </w:r>
      <w:r>
        <w:rPr>
          <w:rFonts w:hint="eastAsia" w:ascii="仿宋_GB2312" w:eastAsia="仿宋_GB2312"/>
          <w:sz w:val="32"/>
          <w:szCs w:val="32"/>
        </w:rPr>
        <w:t>战略。</w:t>
      </w:r>
      <w:r>
        <w:rPr>
          <w:rFonts w:hint="eastAsia" w:ascii="仿宋_GB2312" w:eastAsia="仿宋_GB2312"/>
          <w:color w:val="000000"/>
          <w:sz w:val="32"/>
          <w:szCs w:val="32"/>
        </w:rPr>
        <w:t>学校以“雄鹰风采，红石精神”为校风；以“明道优术，善知力行”为校训；以“因材施教，学</w:t>
      </w:r>
      <w:r>
        <w:rPr>
          <w:rFonts w:hint="eastAsia" w:ascii="仿宋_GB2312" w:eastAsia="仿宋_GB2312"/>
          <w:color w:val="000000"/>
          <w:sz w:val="32"/>
          <w:szCs w:val="32"/>
          <w:lang w:val="en-US" w:eastAsia="zh-CN"/>
        </w:rPr>
        <w:t>做</w:t>
      </w:r>
      <w:r>
        <w:rPr>
          <w:rFonts w:hint="eastAsia" w:ascii="仿宋_GB2312" w:eastAsia="仿宋_GB2312"/>
          <w:color w:val="000000"/>
          <w:sz w:val="32"/>
          <w:szCs w:val="32"/>
        </w:rPr>
        <w:t>并重，企业满意，社会认可”为育人方针；实行“工学结合、校企合作”的办学模式，推行“1+</w:t>
      </w:r>
      <w:r>
        <w:rPr>
          <w:rFonts w:hint="eastAsia" w:ascii="仿宋_GB2312" w:eastAsia="仿宋_GB2312"/>
          <w:color w:val="000000"/>
          <w:sz w:val="32"/>
          <w:szCs w:val="32"/>
          <w:lang w:val="en-US" w:eastAsia="zh-CN"/>
        </w:rPr>
        <w:t>X</w:t>
      </w:r>
      <w:r>
        <w:rPr>
          <w:rFonts w:hint="eastAsia" w:ascii="仿宋_GB2312" w:eastAsia="仿宋_GB2312"/>
          <w:color w:val="000000"/>
          <w:sz w:val="32"/>
          <w:szCs w:val="32"/>
        </w:rPr>
        <w:t>”职业证书考核，真正做到办学与市场对接、教学与岗位对接，</w:t>
      </w:r>
      <w:r>
        <w:rPr>
          <w:rFonts w:hint="eastAsia" w:ascii="仿宋_GB2312" w:hAnsi="仿宋_GB2312" w:eastAsia="仿宋_GB2312" w:cs="仿宋_GB2312"/>
          <w:color w:val="0C0C0C"/>
          <w:sz w:val="32"/>
          <w:szCs w:val="32"/>
        </w:rPr>
        <w:t>全力打造高水平中职学校，服务区域经济社会发展。</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5" w:name="_Toc3453"/>
      <w:bookmarkStart w:id="6" w:name="_Toc1787"/>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1.3办学条件</w:t>
      </w:r>
      <w:bookmarkEnd w:id="5"/>
      <w:bookmarkEnd w:id="6"/>
    </w:p>
    <w:p>
      <w:pPr>
        <w:spacing w:line="580" w:lineRule="exact"/>
        <w:ind w:firstLine="640" w:firstLineChars="200"/>
        <w:rPr>
          <w:rFonts w:ascii="仿宋_GB2312" w:hAnsi="仿宋_GB2312" w:eastAsia="仿宋_GB2312" w:cs="仿宋_GB2312"/>
          <w:color w:val="auto"/>
          <w:spacing w:val="20"/>
          <w:sz w:val="32"/>
          <w:szCs w:val="32"/>
        </w:rPr>
      </w:pPr>
      <w:r>
        <w:rPr>
          <w:rFonts w:hint="eastAsia" w:ascii="仿宋_GB2312" w:eastAsia="仿宋_GB2312"/>
          <w:color w:val="000000"/>
          <w:sz w:val="32"/>
          <w:szCs w:val="32"/>
        </w:rPr>
        <w:t>学校占地面积1157亩，建筑面积</w:t>
      </w:r>
      <w:r>
        <w:rPr>
          <w:rFonts w:hint="eastAsia" w:ascii="仿宋_GB2312" w:eastAsia="仿宋_GB2312"/>
          <w:color w:val="000000"/>
          <w:sz w:val="32"/>
          <w:szCs w:val="32"/>
          <w:lang w:val="en-US" w:eastAsia="zh-CN"/>
        </w:rPr>
        <w:t>10.5</w:t>
      </w:r>
      <w:r>
        <w:rPr>
          <w:rFonts w:hint="eastAsia" w:ascii="仿宋_GB2312" w:eastAsia="仿宋_GB2312"/>
          <w:color w:val="000000"/>
          <w:sz w:val="32"/>
          <w:szCs w:val="32"/>
        </w:rPr>
        <w:t>万平方米。</w:t>
      </w:r>
      <w:r>
        <w:rPr>
          <w:rFonts w:ascii="仿宋_GB2312" w:eastAsia="仿宋_GB2312"/>
          <w:color w:val="000000"/>
          <w:sz w:val="32"/>
          <w:szCs w:val="32"/>
        </w:rPr>
        <w:t>教学实训设备</w:t>
      </w:r>
      <w:r>
        <w:rPr>
          <w:rFonts w:ascii="仿宋_GB2312" w:eastAsia="仿宋_GB2312"/>
          <w:color w:val="auto"/>
          <w:sz w:val="32"/>
          <w:szCs w:val="32"/>
        </w:rPr>
        <w:t>达</w:t>
      </w:r>
      <w:r>
        <w:rPr>
          <w:rFonts w:hint="eastAsia" w:ascii="仿宋_GB2312" w:eastAsia="仿宋_GB2312"/>
          <w:color w:val="auto"/>
          <w:sz w:val="32"/>
          <w:szCs w:val="32"/>
          <w:lang w:val="en-US" w:eastAsia="zh-CN"/>
        </w:rPr>
        <w:t>3399.8</w:t>
      </w:r>
      <w:r>
        <w:rPr>
          <w:rFonts w:ascii="仿宋_GB2312" w:eastAsia="仿宋_GB2312"/>
          <w:color w:val="auto"/>
          <w:sz w:val="32"/>
          <w:szCs w:val="32"/>
        </w:rPr>
        <w:t>万元</w:t>
      </w:r>
      <w:r>
        <w:rPr>
          <w:rFonts w:hint="eastAsia" w:ascii="仿宋_GB2312" w:hAnsi="宋体" w:eastAsia="仿宋_GB2312" w:cs="宋体"/>
          <w:color w:val="auto"/>
          <w:kern w:val="0"/>
          <w:sz w:val="32"/>
          <w:szCs w:val="32"/>
        </w:rPr>
        <w:t>，比去年同期增加</w:t>
      </w:r>
      <w:r>
        <w:rPr>
          <w:rFonts w:ascii="仿宋_GB2312" w:hAnsi="宋体" w:eastAsia="仿宋_GB2312" w:cs="宋体"/>
          <w:color w:val="auto"/>
          <w:kern w:val="0"/>
          <w:sz w:val="32"/>
          <w:szCs w:val="32"/>
        </w:rPr>
        <w:t>19</w:t>
      </w:r>
      <w:r>
        <w:rPr>
          <w:rFonts w:hint="eastAsia" w:ascii="仿宋_GB2312" w:hAnsi="宋体" w:eastAsia="仿宋_GB2312" w:cs="宋体"/>
          <w:color w:val="auto"/>
          <w:kern w:val="0"/>
          <w:sz w:val="32"/>
          <w:szCs w:val="32"/>
          <w:lang w:val="en-US" w:eastAsia="zh-CN"/>
        </w:rPr>
        <w:t>6</w:t>
      </w:r>
      <w:r>
        <w:rPr>
          <w:rFonts w:ascii="仿宋_GB2312" w:hAnsi="宋体" w:eastAsia="仿宋_GB2312" w:cs="宋体"/>
          <w:color w:val="auto"/>
          <w:kern w:val="0"/>
          <w:sz w:val="32"/>
          <w:szCs w:val="32"/>
        </w:rPr>
        <w:t>.</w:t>
      </w:r>
      <w:r>
        <w:rPr>
          <w:rFonts w:hint="eastAsia" w:ascii="仿宋_GB2312" w:hAnsi="宋体" w:eastAsia="仿宋_GB2312" w:cs="宋体"/>
          <w:color w:val="auto"/>
          <w:kern w:val="0"/>
          <w:sz w:val="32"/>
          <w:szCs w:val="32"/>
          <w:lang w:val="en-US" w:eastAsia="zh-CN"/>
        </w:rPr>
        <w:t>95</w:t>
      </w:r>
      <w:r>
        <w:rPr>
          <w:rFonts w:hint="eastAsia" w:ascii="仿宋_GB2312" w:hAnsi="宋体" w:eastAsia="仿宋_GB2312" w:cs="宋体"/>
          <w:color w:val="auto"/>
          <w:kern w:val="0"/>
          <w:sz w:val="32"/>
          <w:szCs w:val="32"/>
        </w:rPr>
        <w:t>万元。生均教学仪器设备值0.</w:t>
      </w:r>
      <w:r>
        <w:rPr>
          <w:rFonts w:hint="eastAsia" w:ascii="仿宋_GB2312" w:hAnsi="宋体" w:eastAsia="仿宋_GB2312" w:cs="宋体"/>
          <w:color w:val="auto"/>
          <w:kern w:val="0"/>
          <w:sz w:val="32"/>
          <w:szCs w:val="32"/>
          <w:lang w:val="en-US" w:eastAsia="zh-CN"/>
        </w:rPr>
        <w:t>8</w:t>
      </w:r>
      <w:r>
        <w:rPr>
          <w:rFonts w:ascii="仿宋_GB2312" w:hAnsi="宋体" w:eastAsia="仿宋_GB2312" w:cs="宋体"/>
          <w:color w:val="auto"/>
          <w:kern w:val="0"/>
          <w:sz w:val="32"/>
          <w:szCs w:val="32"/>
        </w:rPr>
        <w:t>1</w:t>
      </w:r>
      <w:r>
        <w:rPr>
          <w:rFonts w:hint="eastAsia" w:ascii="仿宋_GB2312" w:hAnsi="宋体" w:eastAsia="仿宋_GB2312" w:cs="宋体"/>
          <w:color w:val="auto"/>
          <w:kern w:val="0"/>
          <w:sz w:val="32"/>
          <w:szCs w:val="32"/>
        </w:rPr>
        <w:t>万元，比上年度下降</w:t>
      </w:r>
      <w:r>
        <w:rPr>
          <w:rFonts w:hint="eastAsia" w:ascii="仿宋_GB2312" w:hAnsi="宋体" w:eastAsia="仿宋_GB2312" w:cs="宋体"/>
          <w:color w:val="auto"/>
          <w:kern w:val="0"/>
          <w:sz w:val="32"/>
          <w:szCs w:val="32"/>
          <w:lang w:val="en-US" w:eastAsia="zh-CN"/>
        </w:rPr>
        <w:t>10</w:t>
      </w:r>
      <w:r>
        <w:rPr>
          <w:rFonts w:hint="eastAsia" w:ascii="仿宋_GB2312" w:hAnsi="宋体" w:eastAsia="仿宋_GB2312" w:cs="宋体"/>
          <w:color w:val="auto"/>
          <w:kern w:val="0"/>
          <w:sz w:val="32"/>
          <w:szCs w:val="32"/>
        </w:rPr>
        <w:t>%，生均实训实习工位数0.8</w:t>
      </w:r>
      <w:r>
        <w:rPr>
          <w:rFonts w:ascii="仿宋_GB2312" w:hAnsi="宋体" w:eastAsia="仿宋_GB2312" w:cs="宋体"/>
          <w:color w:val="auto"/>
          <w:kern w:val="0"/>
          <w:sz w:val="32"/>
          <w:szCs w:val="32"/>
        </w:rPr>
        <w:t>8</w:t>
      </w:r>
      <w:r>
        <w:rPr>
          <w:rFonts w:hint="eastAsia" w:ascii="仿宋_GB2312" w:hAnsi="宋体" w:eastAsia="仿宋_GB2312" w:cs="宋体"/>
          <w:color w:val="auto"/>
          <w:kern w:val="0"/>
          <w:sz w:val="32"/>
          <w:szCs w:val="32"/>
        </w:rPr>
        <w:t>个，比上年度提高1.1%，纸质图书1</w:t>
      </w:r>
      <w:r>
        <w:rPr>
          <w:rFonts w:ascii="仿宋_GB2312" w:hAnsi="宋体" w:eastAsia="仿宋_GB2312" w:cs="宋体"/>
          <w:color w:val="auto"/>
          <w:kern w:val="0"/>
          <w:sz w:val="32"/>
          <w:szCs w:val="32"/>
        </w:rPr>
        <w:t>2</w:t>
      </w:r>
      <w:r>
        <w:rPr>
          <w:rFonts w:hint="eastAsia" w:ascii="仿宋_GB2312" w:hAnsi="宋体" w:eastAsia="仿宋_GB2312" w:cs="宋体"/>
          <w:color w:val="auto"/>
          <w:kern w:val="0"/>
          <w:sz w:val="32"/>
          <w:szCs w:val="32"/>
        </w:rPr>
        <w:t>.</w:t>
      </w:r>
      <w:r>
        <w:rPr>
          <w:rFonts w:ascii="仿宋_GB2312" w:hAnsi="宋体" w:eastAsia="仿宋_GB2312" w:cs="宋体"/>
          <w:color w:val="auto"/>
          <w:kern w:val="0"/>
          <w:sz w:val="32"/>
          <w:szCs w:val="32"/>
        </w:rPr>
        <w:t>7</w:t>
      </w:r>
      <w:r>
        <w:rPr>
          <w:rFonts w:hint="eastAsia" w:ascii="仿宋_GB2312" w:hAnsi="宋体" w:eastAsia="仿宋_GB2312" w:cs="宋体"/>
          <w:color w:val="auto"/>
          <w:kern w:val="0"/>
          <w:sz w:val="32"/>
          <w:szCs w:val="32"/>
        </w:rPr>
        <w:t>8万册</w:t>
      </w:r>
      <w:r>
        <w:rPr>
          <w:rFonts w:hint="eastAsia" w:ascii="仿宋_GB2312" w:hAnsi="宋体" w:eastAsia="仿宋_GB2312" w:cs="宋体"/>
          <w:color w:val="auto"/>
          <w:kern w:val="0"/>
          <w:sz w:val="32"/>
          <w:szCs w:val="32"/>
          <w:lang w:eastAsia="zh-CN"/>
        </w:rPr>
        <w:t>，</w:t>
      </w:r>
      <w:r>
        <w:rPr>
          <w:rFonts w:hint="eastAsia" w:ascii="仿宋_GB2312" w:hAnsi="宋体" w:eastAsia="仿宋_GB2312" w:cs="宋体"/>
          <w:color w:val="auto"/>
          <w:kern w:val="0"/>
          <w:sz w:val="32"/>
          <w:szCs w:val="32"/>
          <w:lang w:val="en-US" w:eastAsia="zh-CN"/>
        </w:rPr>
        <w:t>与上年持平</w:t>
      </w:r>
      <w:r>
        <w:rPr>
          <w:rFonts w:hint="eastAsia" w:ascii="仿宋_GB2312" w:hAnsi="宋体" w:eastAsia="仿宋_GB2312" w:cs="宋体"/>
          <w:color w:val="auto"/>
          <w:kern w:val="0"/>
          <w:sz w:val="32"/>
          <w:szCs w:val="32"/>
        </w:rPr>
        <w:t>。</w:t>
      </w:r>
    </w:p>
    <w:p>
      <w:pPr>
        <w:pStyle w:val="14"/>
        <w:spacing w:line="600" w:lineRule="exact"/>
        <w:ind w:firstLine="720" w:firstLineChars="200"/>
        <w:jc w:val="both"/>
        <w:rPr>
          <w:rFonts w:ascii="仿宋_GB2312" w:eastAsia="仿宋_GB2312"/>
          <w:color w:val="000000"/>
          <w:sz w:val="32"/>
          <w:szCs w:val="32"/>
        </w:rPr>
      </w:pPr>
      <w:r>
        <w:rPr>
          <w:rFonts w:ascii="仿宋_GB2312" w:hAnsi="仿宋_GB2312" w:eastAsia="仿宋_GB2312" w:cs="仿宋_GB2312"/>
          <w:color w:val="000000"/>
          <w:spacing w:val="20"/>
          <w:sz w:val="32"/>
          <w:szCs w:val="32"/>
        </w:rPr>
        <w:t>实验实训设备齐全</w:t>
      </w:r>
      <w:r>
        <w:rPr>
          <w:rFonts w:hint="eastAsia" w:ascii="仿宋_GB2312" w:hAnsi="仿宋_GB2312" w:eastAsia="仿宋_GB2312" w:cs="仿宋_GB2312"/>
          <w:color w:val="000000"/>
          <w:spacing w:val="20"/>
          <w:sz w:val="32"/>
          <w:szCs w:val="32"/>
        </w:rPr>
        <w:t>，</w:t>
      </w:r>
      <w:r>
        <w:rPr>
          <w:rFonts w:ascii="仿宋_GB2312" w:hAnsi="仿宋_GB2312" w:eastAsia="仿宋_GB2312" w:cs="仿宋_GB2312"/>
          <w:color w:val="000000"/>
          <w:spacing w:val="20"/>
          <w:sz w:val="32"/>
          <w:szCs w:val="32"/>
        </w:rPr>
        <w:t>拥有汽修车间、电子工艺、电子装配、电子单片机控制、数控加工中心、数控仿真、电气安装与维修中心、眼视光与配镜、电钢琴、幼儿辅导、3Ｄ模拟导游、茶艺、心理咨询等</w:t>
      </w:r>
      <w:r>
        <w:rPr>
          <w:rFonts w:hint="eastAsia" w:ascii="仿宋_GB2312" w:hAnsi="仿宋_GB2312" w:eastAsia="仿宋_GB2312" w:cs="仿宋_GB2312"/>
          <w:color w:val="000000"/>
          <w:spacing w:val="20"/>
          <w:sz w:val="32"/>
          <w:szCs w:val="32"/>
          <w:lang w:val="en-US" w:eastAsia="zh-CN"/>
        </w:rPr>
        <w:t>51</w:t>
      </w:r>
      <w:r>
        <w:rPr>
          <w:rFonts w:ascii="仿宋_GB2312" w:hAnsi="仿宋_GB2312" w:eastAsia="仿宋_GB2312" w:cs="仿宋_GB2312"/>
          <w:color w:val="000000"/>
          <w:spacing w:val="20"/>
          <w:sz w:val="32"/>
          <w:szCs w:val="32"/>
        </w:rPr>
        <w:t>个实训室</w:t>
      </w:r>
      <w:r>
        <w:rPr>
          <w:rFonts w:hint="eastAsia" w:ascii="仿宋_GB2312" w:eastAsia="仿宋_GB2312"/>
          <w:color w:val="000000"/>
          <w:sz w:val="32"/>
          <w:szCs w:val="32"/>
        </w:rPr>
        <w:t>和</w:t>
      </w:r>
      <w:r>
        <w:rPr>
          <w:rFonts w:hint="eastAsia" w:ascii="仿宋_GB2312" w:eastAsia="仿宋_GB2312"/>
          <w:color w:val="000000"/>
          <w:sz w:val="32"/>
          <w:szCs w:val="32"/>
          <w:lang w:val="en-US" w:eastAsia="zh-CN"/>
        </w:rPr>
        <w:t>85</w:t>
      </w:r>
      <w:r>
        <w:rPr>
          <w:rFonts w:hint="eastAsia" w:ascii="仿宋_GB2312" w:eastAsia="仿宋_GB2312"/>
          <w:color w:val="000000"/>
          <w:sz w:val="32"/>
          <w:szCs w:val="32"/>
        </w:rPr>
        <w:t>个多媒体教室。</w:t>
      </w:r>
    </w:p>
    <w:p>
      <w:pPr>
        <w:ind w:firstLine="640" w:firstLineChars="200"/>
        <w:rPr>
          <w:rFonts w:ascii="仿宋_GB2312" w:eastAsia="仿宋_GB2312"/>
          <w:color w:val="000000"/>
          <w:sz w:val="32"/>
          <w:szCs w:val="32"/>
        </w:rPr>
      </w:pPr>
      <w:r>
        <w:rPr>
          <w:rFonts w:hint="eastAsia" w:ascii="仿宋_GB2312" w:eastAsia="仿宋_GB2312"/>
          <w:color w:val="000000"/>
          <w:sz w:val="32"/>
          <w:szCs w:val="32"/>
        </w:rPr>
        <w:t>学校设有</w:t>
      </w:r>
      <w:r>
        <w:rPr>
          <w:rFonts w:ascii="仿宋_GB2312" w:eastAsia="仿宋_GB2312"/>
          <w:color w:val="000000"/>
          <w:sz w:val="32"/>
          <w:szCs w:val="32"/>
        </w:rPr>
        <w:t>14个内设机构和5个学部，内设机构包括党政办公室、组织人事处、宣传统战处、教务处（实训中心、图书馆）、学生工作处、招生就业处、计划财务处、总务基建处（医务室、食堂、对外服务部）、保卫处（人武部）、纪检监察室、工会（妇委会）、团委、网络信息中心、职业培训中心。学部包括信息技术学部、</w:t>
      </w:r>
      <w:r>
        <w:rPr>
          <w:rFonts w:hint="eastAsia" w:ascii="仿宋_GB2312" w:eastAsia="仿宋_GB2312"/>
          <w:color w:val="000000"/>
          <w:sz w:val="32"/>
          <w:szCs w:val="32"/>
          <w:lang w:val="en-US" w:eastAsia="zh-CN"/>
        </w:rPr>
        <w:t>智能制造</w:t>
      </w:r>
      <w:r>
        <w:rPr>
          <w:rFonts w:ascii="仿宋_GB2312" w:eastAsia="仿宋_GB2312"/>
          <w:color w:val="000000"/>
          <w:sz w:val="32"/>
          <w:szCs w:val="32"/>
        </w:rPr>
        <w:t>学部、</w:t>
      </w:r>
      <w:r>
        <w:rPr>
          <w:rFonts w:hint="eastAsia" w:ascii="仿宋_GB2312" w:eastAsia="仿宋_GB2312"/>
          <w:color w:val="000000"/>
          <w:sz w:val="32"/>
          <w:szCs w:val="32"/>
          <w:lang w:val="en-US" w:eastAsia="zh-CN"/>
        </w:rPr>
        <w:t>旅游商贸</w:t>
      </w:r>
      <w:r>
        <w:rPr>
          <w:rFonts w:ascii="仿宋_GB2312" w:eastAsia="仿宋_GB2312"/>
          <w:color w:val="000000"/>
          <w:sz w:val="32"/>
          <w:szCs w:val="32"/>
        </w:rPr>
        <w:t>学部、</w:t>
      </w:r>
      <w:r>
        <w:rPr>
          <w:rFonts w:hint="eastAsia" w:ascii="仿宋_GB2312" w:eastAsia="仿宋_GB2312"/>
          <w:color w:val="000000"/>
          <w:sz w:val="32"/>
          <w:szCs w:val="32"/>
          <w:lang w:val="en-US" w:eastAsia="zh-CN"/>
        </w:rPr>
        <w:t>教育综合</w:t>
      </w:r>
      <w:r>
        <w:rPr>
          <w:rFonts w:ascii="仿宋_GB2312" w:eastAsia="仿宋_GB2312"/>
          <w:color w:val="000000"/>
          <w:sz w:val="32"/>
          <w:szCs w:val="32"/>
        </w:rPr>
        <w:t>学部、思想政治学部。</w:t>
      </w:r>
    </w:p>
    <w:p>
      <w:pPr>
        <w:ind w:firstLine="640" w:firstLineChars="200"/>
        <w:rPr>
          <w:rFonts w:ascii="仿宋_GB2312" w:eastAsia="仿宋_GB2312"/>
          <w:color w:val="000000"/>
          <w:sz w:val="32"/>
          <w:szCs w:val="32"/>
        </w:rPr>
      </w:pPr>
    </w:p>
    <w:p>
      <w:pPr>
        <w:keepNext w:val="0"/>
        <w:keepLines w:val="0"/>
        <w:widowControl/>
        <w:suppressLineNumbers w:val="0"/>
        <w:ind w:firstLine="640" w:firstLineChars="200"/>
        <w:jc w:val="left"/>
        <w:rPr>
          <w:rFonts w:ascii="仿宋_GB2312" w:hAnsi="宋体" w:eastAsia="仿宋_GB2312" w:cs="宋体"/>
          <w:color w:val="000000"/>
          <w:kern w:val="0"/>
          <w:sz w:val="32"/>
          <w:szCs w:val="32"/>
        </w:rPr>
      </w:pPr>
      <w:r>
        <w:rPr>
          <w:rFonts w:hint="eastAsia" w:ascii="仿宋_GB2312" w:eastAsia="仿宋_GB2312"/>
          <w:color w:val="000000"/>
          <w:sz w:val="32"/>
          <w:szCs w:val="32"/>
        </w:rPr>
        <w:t>学校专业建设紧密对接“智铜道合、强富美优”新鹰潭建设目标，围绕鹰潭市“</w:t>
      </w:r>
      <w:r>
        <w:rPr>
          <w:rFonts w:ascii="仿宋_GB2312" w:eastAsia="仿宋_GB2312"/>
          <w:color w:val="000000"/>
          <w:sz w:val="32"/>
          <w:szCs w:val="32"/>
        </w:rPr>
        <w:t>2+N”现代化工业体系，</w:t>
      </w:r>
      <w:r>
        <w:rPr>
          <w:rFonts w:hint="eastAsia" w:ascii="仿宋_GB2312" w:eastAsia="仿宋_GB2312"/>
          <w:color w:val="000000"/>
          <w:sz w:val="32"/>
          <w:szCs w:val="32"/>
        </w:rPr>
        <w:t>开设</w:t>
      </w:r>
      <w:r>
        <w:rPr>
          <w:rFonts w:hint="eastAsia" w:ascii="仿宋_GB2312" w:hAnsi="宋体" w:eastAsia="仿宋_GB2312" w:cs="宋体"/>
          <w:color w:val="000000"/>
          <w:kern w:val="0"/>
          <w:sz w:val="32"/>
          <w:szCs w:val="32"/>
        </w:rPr>
        <w:t>汽车运用与维修、数控技术应用、物</w:t>
      </w:r>
      <w:r>
        <w:rPr>
          <w:rFonts w:hint="eastAsia" w:ascii="仿宋_GB2312" w:hAnsi="宋体" w:eastAsia="仿宋_GB2312" w:cs="宋体"/>
          <w:color w:val="auto"/>
          <w:kern w:val="0"/>
          <w:sz w:val="32"/>
          <w:szCs w:val="32"/>
        </w:rPr>
        <w:t>联网技术应用、计算机应用、动漫与游戏制作、幼儿保育、旅游服务与管理等</w:t>
      </w:r>
      <w:r>
        <w:rPr>
          <w:rFonts w:hint="eastAsia" w:ascii="仿宋_GB2312" w:eastAsia="仿宋_GB2312"/>
          <w:color w:val="auto"/>
          <w:sz w:val="32"/>
          <w:szCs w:val="32"/>
        </w:rPr>
        <w:t>1</w:t>
      </w:r>
      <w:r>
        <w:rPr>
          <w:rFonts w:ascii="仿宋_GB2312" w:eastAsia="仿宋_GB2312"/>
          <w:color w:val="auto"/>
          <w:sz w:val="32"/>
          <w:szCs w:val="32"/>
        </w:rPr>
        <w:t>6</w:t>
      </w:r>
      <w:r>
        <w:rPr>
          <w:rFonts w:hint="eastAsia" w:ascii="仿宋_GB2312" w:eastAsia="仿宋_GB2312"/>
          <w:color w:val="auto"/>
          <w:sz w:val="32"/>
          <w:szCs w:val="32"/>
        </w:rPr>
        <w:t>个专业。初步形成了</w:t>
      </w:r>
      <w:r>
        <w:rPr>
          <w:rFonts w:ascii="仿宋_GB2312" w:hAnsi="宋体" w:eastAsia="仿宋_GB2312" w:cs="仿宋_GB2312"/>
          <w:color w:val="000000"/>
          <w:kern w:val="0"/>
          <w:sz w:val="31"/>
          <w:szCs w:val="31"/>
          <w:lang w:val="en-US" w:eastAsia="zh-CN" w:bidi="ar"/>
        </w:rPr>
        <w:t>信息技</w:t>
      </w:r>
      <w:r>
        <w:rPr>
          <w:rFonts w:hint="eastAsia" w:ascii="仿宋_GB2312" w:hAnsi="宋体" w:eastAsia="仿宋_GB2312" w:cs="仿宋_GB2312"/>
          <w:color w:val="000000"/>
          <w:kern w:val="0"/>
          <w:sz w:val="31"/>
          <w:szCs w:val="31"/>
          <w:lang w:val="en-US" w:eastAsia="zh-CN" w:bidi="ar"/>
        </w:rPr>
        <w:t>术、智能制造、旅游商贸、教育综合四大主干专业群；围绕地方产业发展民间传统工艺（雕刻方向）和眼视光与配镜等特色专业。</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7" w:name="_Toc8838"/>
      <w:bookmarkStart w:id="8" w:name="_Toc28819"/>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1.4办学成效</w:t>
      </w:r>
      <w:bookmarkEnd w:id="7"/>
      <w:bookmarkEnd w:id="8"/>
    </w:p>
    <w:p>
      <w:pPr>
        <w:ind w:firstLine="640" w:firstLineChars="200"/>
        <w:rPr>
          <w:rFonts w:ascii="仿宋_GB2312" w:eastAsia="仿宋_GB2312"/>
          <w:color w:val="000000"/>
          <w:sz w:val="32"/>
          <w:szCs w:val="32"/>
        </w:rPr>
      </w:pPr>
      <w:r>
        <w:rPr>
          <w:rFonts w:hint="eastAsia" w:ascii="仿宋_GB2312" w:eastAsia="仿宋_GB2312"/>
          <w:color w:val="000000"/>
          <w:sz w:val="32"/>
          <w:szCs w:val="32"/>
        </w:rPr>
        <w:t>学校先后被评为国家级重点中等职业学校、国家中等职业教育改革发展示范学校，江西省高技能人才培养示范基地，是</w:t>
      </w:r>
      <w:r>
        <w:rPr>
          <w:rFonts w:ascii="仿宋_GB2312" w:hAnsi="仿宋_GB2312" w:eastAsia="仿宋_GB2312" w:cs="仿宋_GB2312"/>
          <w:color w:val="000000"/>
          <w:sz w:val="32"/>
          <w:szCs w:val="32"/>
        </w:rPr>
        <w:t>江西省10所高水平中职学校建设立项单位之一</w:t>
      </w:r>
      <w:r>
        <w:rPr>
          <w:rFonts w:hint="eastAsia" w:ascii="仿宋_GB2312" w:hAnsi="仿宋_GB2312" w:eastAsia="仿宋_GB2312" w:cs="仿宋_GB2312"/>
          <w:color w:val="000000"/>
          <w:sz w:val="32"/>
          <w:szCs w:val="32"/>
        </w:rPr>
        <w:t>，是</w:t>
      </w:r>
      <w:r>
        <w:rPr>
          <w:rFonts w:ascii="仿宋_GB2312" w:hAnsi="仿宋_GB2312" w:eastAsia="仿宋_GB2312" w:cs="仿宋_GB2312"/>
          <w:sz w:val="32"/>
          <w:szCs w:val="32"/>
        </w:rPr>
        <w:t>江西省首批联合培养大专生的试点中职学校</w:t>
      </w:r>
      <w:r>
        <w:rPr>
          <w:rFonts w:hint="eastAsia" w:ascii="仿宋_GB2312" w:eastAsia="仿宋_GB2312"/>
          <w:color w:val="000000"/>
          <w:sz w:val="32"/>
          <w:szCs w:val="32"/>
        </w:rPr>
        <w:t>。</w:t>
      </w:r>
      <w:r>
        <w:rPr>
          <w:rFonts w:ascii="仿宋_GB2312" w:hAnsi="仿宋_GB2312" w:eastAsia="仿宋_GB2312" w:cs="仿宋_GB2312"/>
          <w:color w:val="000000"/>
          <w:sz w:val="32"/>
          <w:szCs w:val="32"/>
        </w:rPr>
        <w:t>2021年被评为</w:t>
      </w:r>
      <w:r>
        <w:rPr>
          <w:rFonts w:hint="eastAsia" w:ascii="仿宋_GB2312" w:hAnsi="仿宋_GB2312" w:eastAsia="仿宋_GB2312" w:cs="仿宋_GB2312"/>
          <w:color w:val="000000"/>
          <w:sz w:val="32"/>
          <w:szCs w:val="32"/>
        </w:rPr>
        <w:t>江西</w:t>
      </w:r>
      <w:r>
        <w:rPr>
          <w:rFonts w:ascii="仿宋_GB2312" w:hAnsi="仿宋_GB2312" w:eastAsia="仿宋_GB2312" w:cs="仿宋_GB2312"/>
          <w:color w:val="000000"/>
          <w:sz w:val="32"/>
          <w:szCs w:val="32"/>
        </w:rPr>
        <w:t>省A</w:t>
      </w:r>
      <w:r>
        <w:rPr>
          <w:rFonts w:hint="eastAsia" w:ascii="仿宋_GB2312" w:hAnsi="仿宋_GB2312" w:eastAsia="仿宋_GB2312" w:cs="仿宋_GB2312"/>
          <w:color w:val="000000"/>
          <w:sz w:val="32"/>
          <w:szCs w:val="32"/>
          <w:lang w:val="en-US" w:eastAsia="zh-CN"/>
        </w:rPr>
        <w:t>档</w:t>
      </w:r>
      <w:r>
        <w:rPr>
          <w:rFonts w:ascii="仿宋_GB2312" w:hAnsi="仿宋_GB2312" w:eastAsia="仿宋_GB2312" w:cs="仿宋_GB2312"/>
          <w:color w:val="000000"/>
          <w:sz w:val="32"/>
          <w:szCs w:val="32"/>
        </w:rPr>
        <w:t>优质中职学校</w:t>
      </w:r>
      <w:r>
        <w:rPr>
          <w:rFonts w:hint="eastAsia" w:ascii="仿宋_GB2312" w:hAnsi="仿宋_GB2312" w:eastAsia="仿宋_GB2312" w:cs="仿宋_GB2312"/>
          <w:color w:val="000000"/>
          <w:sz w:val="32"/>
          <w:szCs w:val="32"/>
        </w:rPr>
        <w:t>，是江西省</w:t>
      </w:r>
      <w:r>
        <w:rPr>
          <w:rFonts w:ascii="仿宋_GB2312" w:hAnsi="仿宋_GB2312" w:eastAsia="仿宋_GB2312" w:cs="仿宋_GB2312"/>
          <w:color w:val="000000"/>
          <w:sz w:val="32"/>
          <w:szCs w:val="32"/>
        </w:rPr>
        <w:t>提质培优行动计划中职学校“推进1+X证书制度试点”项目牵头院校</w:t>
      </w:r>
      <w:r>
        <w:rPr>
          <w:rFonts w:hint="eastAsia" w:ascii="仿宋_GB2312" w:hAnsi="仿宋_GB2312" w:eastAsia="仿宋_GB2312" w:cs="仿宋_GB2312"/>
          <w:color w:val="000000"/>
          <w:sz w:val="32"/>
          <w:szCs w:val="32"/>
        </w:rPr>
        <w:t>，是鹰潭市创业培训</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高素质农民</w:t>
      </w:r>
      <w:r>
        <w:rPr>
          <w:rFonts w:hint="eastAsia" w:ascii="仿宋_GB2312" w:hAnsi="仿宋_GB2312" w:eastAsia="仿宋_GB2312" w:cs="仿宋_GB2312"/>
          <w:color w:val="000000"/>
          <w:sz w:val="32"/>
          <w:szCs w:val="32"/>
          <w:lang w:val="en-US" w:eastAsia="zh-CN"/>
        </w:rPr>
        <w:t>培训</w:t>
      </w:r>
      <w:r>
        <w:rPr>
          <w:rFonts w:hint="eastAsia" w:ascii="仿宋_GB2312" w:hAnsi="仿宋_GB2312" w:eastAsia="仿宋_GB2312" w:cs="仿宋_GB2312"/>
          <w:color w:val="000000"/>
          <w:sz w:val="32"/>
          <w:szCs w:val="32"/>
        </w:rPr>
        <w:t>定点机构，荣获</w:t>
      </w:r>
      <w:r>
        <w:rPr>
          <w:rFonts w:hint="eastAsia" w:ascii="仿宋_GB2312" w:hAnsi="仿宋_GB2312" w:eastAsia="仿宋_GB2312" w:cs="仿宋_GB2312"/>
          <w:color w:val="000000"/>
          <w:sz w:val="32"/>
          <w:szCs w:val="32"/>
          <w:lang w:val="en-US" w:eastAsia="zh-CN"/>
        </w:rPr>
        <w:t>省级</w:t>
      </w:r>
      <w:r>
        <w:rPr>
          <w:rFonts w:hint="eastAsia" w:ascii="仿宋_GB2312" w:hAnsi="仿宋_GB2312" w:eastAsia="仿宋_GB2312" w:cs="仿宋_GB2312"/>
          <w:color w:val="000000"/>
          <w:sz w:val="32"/>
          <w:szCs w:val="32"/>
        </w:rPr>
        <w:t>文明校园。</w:t>
      </w:r>
    </w:p>
    <w:p>
      <w:pPr>
        <w:rPr>
          <w:rFonts w:hint="eastAsia"/>
          <w:lang w:val="en-US" w:eastAsia="zh-CN"/>
        </w:rPr>
      </w:pPr>
    </w:p>
    <w:bookmarkEnd w:id="1"/>
    <w:p>
      <w:pPr>
        <w:pStyle w:val="3"/>
        <w:bidi w:val="0"/>
        <w:rPr>
          <w:rFonts w:hint="eastAsia" w:ascii="黑体" w:hAnsi="黑体" w:eastAsia="黑体" w:cs="黑体"/>
          <w:sz w:val="32"/>
          <w:szCs w:val="32"/>
          <w:lang w:val="en-US" w:eastAsia="zh-CN"/>
        </w:rPr>
      </w:pPr>
      <w:bookmarkStart w:id="9" w:name="_Toc20103"/>
      <w:r>
        <w:rPr>
          <w:rFonts w:hint="eastAsia" w:ascii="黑体" w:hAnsi="黑体" w:eastAsia="黑体" w:cs="黑体"/>
          <w:sz w:val="32"/>
          <w:szCs w:val="32"/>
          <w:lang w:val="en-US" w:eastAsia="zh-CN"/>
        </w:rPr>
        <w:t>2.学生发展</w:t>
      </w:r>
      <w:bookmarkEnd w:id="9"/>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10" w:name="_Toc781"/>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2.1党建引领</w:t>
      </w:r>
      <w:bookmarkEnd w:id="10"/>
    </w:p>
    <w:p>
      <w:pPr>
        <w:rPr>
          <w:rFonts w:ascii="仿宋_GB2312" w:hAnsi="仿宋" w:eastAsia="仿宋_GB2312"/>
          <w:b/>
          <w:bCs/>
          <w:sz w:val="32"/>
          <w:szCs w:val="32"/>
        </w:rPr>
      </w:pPr>
      <w:r>
        <w:rPr>
          <w:rFonts w:hint="eastAsia" w:ascii="仿宋_GB2312" w:hAnsi="仿宋" w:eastAsia="仿宋_GB2312"/>
          <w:b/>
          <w:bCs/>
          <w:sz w:val="32"/>
          <w:szCs w:val="32"/>
          <w:lang w:val="en-US" w:eastAsia="zh-CN"/>
        </w:rPr>
        <w:t>2</w:t>
      </w:r>
      <w:r>
        <w:rPr>
          <w:rFonts w:ascii="仿宋_GB2312" w:hAnsi="仿宋" w:eastAsia="仿宋_GB2312"/>
          <w:b/>
          <w:bCs/>
          <w:sz w:val="32"/>
          <w:szCs w:val="32"/>
        </w:rPr>
        <w:t>.1.1</w:t>
      </w:r>
      <w:r>
        <w:rPr>
          <w:rFonts w:hint="eastAsia" w:ascii="仿宋_GB2312" w:hAnsi="仿宋" w:eastAsia="仿宋_GB2312"/>
          <w:b/>
          <w:bCs/>
          <w:sz w:val="32"/>
          <w:szCs w:val="32"/>
        </w:rPr>
        <w:t>健全党建工作情况</w:t>
      </w:r>
    </w:p>
    <w:p>
      <w:pPr>
        <w:spacing w:line="600" w:lineRule="exact"/>
        <w:ind w:firstLine="640" w:firstLineChars="200"/>
        <w:rPr>
          <w:rFonts w:hint="eastAsia" w:ascii="仿宋_GB2312" w:hAnsi="楷体" w:eastAsia="仿宋_GB2312"/>
          <w:bCs/>
          <w:sz w:val="32"/>
          <w:szCs w:val="24"/>
          <w:lang w:val="zh-CN"/>
        </w:rPr>
      </w:pPr>
      <w:r>
        <w:rPr>
          <w:rFonts w:hint="eastAsia" w:ascii="仿宋_GB2312" w:hAnsi="楷体" w:eastAsia="仿宋_GB2312"/>
          <w:bCs/>
          <w:sz w:val="32"/>
          <w:szCs w:val="24"/>
          <w:lang w:val="zh-CN"/>
        </w:rPr>
        <w:t>扎实贯彻落实党委理论学习中心组学习规则，本学年开展了12次党委理论中心组集中学习研讨，严格执行三重一大事项集体决策制度和党委议事制度，全年召开了</w:t>
      </w:r>
      <w:r>
        <w:rPr>
          <w:rFonts w:ascii="仿宋_GB2312" w:hAnsi="楷体" w:eastAsia="仿宋_GB2312"/>
          <w:bCs/>
          <w:sz w:val="32"/>
          <w:szCs w:val="24"/>
          <w:lang w:val="zh-CN"/>
        </w:rPr>
        <w:t>29</w:t>
      </w:r>
      <w:r>
        <w:rPr>
          <w:rFonts w:hint="eastAsia" w:ascii="仿宋_GB2312" w:hAnsi="楷体" w:eastAsia="仿宋_GB2312"/>
          <w:bCs/>
          <w:sz w:val="32"/>
          <w:szCs w:val="24"/>
          <w:lang w:val="zh-CN"/>
        </w:rPr>
        <w:t>次党委会议。</w:t>
      </w:r>
    </w:p>
    <w:p>
      <w:pPr>
        <w:rPr>
          <w:rFonts w:hint="eastAsia" w:ascii="仿宋_GB2312" w:hAnsi="仿宋" w:eastAsia="仿宋_GB2312"/>
          <w:b/>
          <w:bCs/>
          <w:sz w:val="32"/>
          <w:szCs w:val="32"/>
        </w:rPr>
      </w:pPr>
      <w:r>
        <w:rPr>
          <w:rFonts w:hint="eastAsia" w:ascii="仿宋_GB2312" w:hAnsi="仿宋" w:eastAsia="仿宋_GB2312"/>
          <w:b/>
          <w:bCs/>
          <w:sz w:val="32"/>
          <w:szCs w:val="32"/>
          <w:lang w:val="en-US" w:eastAsia="zh-CN"/>
        </w:rPr>
        <w:t>2</w:t>
      </w:r>
      <w:r>
        <w:rPr>
          <w:rFonts w:hint="eastAsia" w:ascii="仿宋_GB2312" w:hAnsi="仿宋" w:eastAsia="仿宋_GB2312"/>
          <w:b/>
          <w:bCs/>
          <w:sz w:val="32"/>
          <w:szCs w:val="32"/>
        </w:rPr>
        <w:t>.1.2推动德育和思想政治工作情况</w:t>
      </w:r>
    </w:p>
    <w:p>
      <w:pPr>
        <w:spacing w:line="600" w:lineRule="exact"/>
        <w:ind w:firstLine="640" w:firstLineChars="200"/>
        <w:rPr>
          <w:rFonts w:ascii="仿宋_GB2312" w:hAnsi="仿宋_GB2312" w:eastAsia="仿宋_GB2312"/>
          <w:sz w:val="32"/>
          <w:szCs w:val="24"/>
          <w:lang w:val="zh-CN"/>
        </w:rPr>
      </w:pPr>
      <w:r>
        <w:rPr>
          <w:rFonts w:hint="eastAsia" w:ascii="仿宋_GB2312" w:hAnsi="仿宋_GB2312" w:eastAsia="仿宋_GB2312" w:cs="仿宋_GB2312"/>
          <w:sz w:val="32"/>
          <w:szCs w:val="32"/>
        </w:rPr>
        <w:t>高度重视思想政治课教学。校领导上讲台教思政课，弘扬社会主义核心价值观，全面落实立德树人的根本任务。</w:t>
      </w:r>
      <w:r>
        <w:rPr>
          <w:rFonts w:hint="eastAsia" w:ascii="仿宋_GB2312" w:hAnsi="仿宋_GB2312" w:eastAsia="仿宋_GB2312"/>
          <w:sz w:val="32"/>
          <w:szCs w:val="24"/>
          <w:lang w:val="zh-CN"/>
        </w:rPr>
        <w:t>结合时代精神做好</w:t>
      </w:r>
      <w:r>
        <w:rPr>
          <w:rFonts w:ascii="仿宋_GB2312" w:hAnsi="仿宋_GB2312" w:eastAsia="仿宋_GB2312"/>
          <w:sz w:val="32"/>
          <w:szCs w:val="24"/>
          <w:lang w:val="zh-CN"/>
        </w:rPr>
        <w:t>“</w:t>
      </w:r>
      <w:r>
        <w:rPr>
          <w:rFonts w:hint="eastAsia" w:ascii="仿宋_GB2312" w:hAnsi="仿宋_GB2312" w:eastAsia="仿宋_GB2312"/>
          <w:sz w:val="32"/>
          <w:szCs w:val="24"/>
          <w:lang w:val="zh-CN"/>
        </w:rPr>
        <w:t>融入</w:t>
      </w:r>
      <w:r>
        <w:rPr>
          <w:rFonts w:ascii="仿宋_GB2312" w:hAnsi="仿宋_GB2312" w:eastAsia="仿宋_GB2312"/>
          <w:sz w:val="32"/>
          <w:szCs w:val="24"/>
          <w:lang w:val="zh-CN"/>
        </w:rPr>
        <w:t>”</w:t>
      </w:r>
      <w:r>
        <w:rPr>
          <w:rFonts w:hint="eastAsia" w:ascii="仿宋_GB2312" w:hAnsi="仿宋_GB2312" w:eastAsia="仿宋_GB2312"/>
          <w:sz w:val="32"/>
          <w:szCs w:val="24"/>
          <w:lang w:val="zh-CN"/>
        </w:rPr>
        <w:t>文章，构建党史学习教育</w:t>
      </w:r>
      <w:r>
        <w:rPr>
          <w:rFonts w:ascii="仿宋_GB2312" w:hAnsi="仿宋_GB2312" w:eastAsia="仿宋_GB2312"/>
          <w:sz w:val="32"/>
          <w:szCs w:val="24"/>
          <w:lang w:val="zh-CN"/>
        </w:rPr>
        <w:t>“</w:t>
      </w:r>
      <w:r>
        <w:rPr>
          <w:rFonts w:hint="eastAsia" w:ascii="仿宋_GB2312" w:hAnsi="仿宋_GB2312" w:eastAsia="仿宋_GB2312"/>
          <w:sz w:val="32"/>
          <w:szCs w:val="24"/>
          <w:lang w:val="zh-CN"/>
        </w:rPr>
        <w:t>进校园、入课程、融活动、润心灵</w:t>
      </w:r>
      <w:r>
        <w:rPr>
          <w:rFonts w:ascii="仿宋_GB2312" w:hAnsi="仿宋_GB2312" w:eastAsia="仿宋_GB2312"/>
          <w:sz w:val="32"/>
          <w:szCs w:val="24"/>
          <w:lang w:val="zh-CN"/>
        </w:rPr>
        <w:t>”</w:t>
      </w:r>
      <w:r>
        <w:rPr>
          <w:rFonts w:hint="eastAsia" w:ascii="仿宋_GB2312" w:hAnsi="仿宋_GB2312" w:eastAsia="仿宋_GB2312"/>
          <w:sz w:val="32"/>
          <w:szCs w:val="24"/>
          <w:lang w:val="zh-CN"/>
        </w:rPr>
        <w:t>课程思政模式，努力培养担当民族复兴大任的时代新人，培养德智体美劳全面发展的社会主义建设者和接班人。</w:t>
      </w:r>
    </w:p>
    <w:p>
      <w:pPr>
        <w:rPr>
          <w:rFonts w:ascii="仿宋_GB2312" w:hAnsi="仿宋_GB2312" w:eastAsia="仿宋_GB2312"/>
          <w:sz w:val="32"/>
          <w:szCs w:val="24"/>
          <w:lang w:val="zh-CN"/>
        </w:rPr>
      </w:pPr>
      <w:r>
        <w:rPr>
          <w:rFonts w:hint="eastAsia" w:ascii="仿宋_GB2312" w:hAnsi="仿宋" w:eastAsia="仿宋_GB2312"/>
          <w:b/>
          <w:bCs/>
          <w:sz w:val="32"/>
          <w:szCs w:val="32"/>
          <w:lang w:val="en-US" w:eastAsia="zh-CN"/>
        </w:rPr>
        <w:t>2</w:t>
      </w:r>
      <w:r>
        <w:rPr>
          <w:rFonts w:ascii="仿宋_GB2312" w:hAnsi="仿宋" w:eastAsia="仿宋_GB2312"/>
          <w:b/>
          <w:bCs/>
          <w:sz w:val="32"/>
          <w:szCs w:val="32"/>
        </w:rPr>
        <w:t>.1.3</w:t>
      </w:r>
      <w:r>
        <w:rPr>
          <w:rFonts w:hint="eastAsia" w:ascii="仿宋_GB2312" w:hAnsi="仿宋" w:eastAsia="仿宋_GB2312"/>
          <w:b/>
          <w:bCs/>
          <w:sz w:val="32"/>
          <w:szCs w:val="32"/>
        </w:rPr>
        <w:t>加强党组织建设情况</w:t>
      </w:r>
    </w:p>
    <w:p>
      <w:pPr>
        <w:spacing w:line="600" w:lineRule="exact"/>
        <w:ind w:firstLine="640" w:firstLineChars="200"/>
        <w:rPr>
          <w:rFonts w:hint="eastAsia" w:ascii="仿宋_GB2312" w:hAnsi="仿宋_GB2312" w:eastAsia="仿宋_GB2312" w:cs="仿宋_GB2312"/>
          <w:color w:val="0C0C0C"/>
          <w:kern w:val="0"/>
          <w:sz w:val="32"/>
          <w:szCs w:val="32"/>
          <w:lang w:val="zh-CN" w:eastAsia="zh-CN" w:bidi="ar-SA"/>
        </w:rPr>
      </w:pPr>
      <w:r>
        <w:rPr>
          <w:rFonts w:hint="eastAsia" w:ascii="仿宋_GB2312" w:hAnsi="仿宋_GB2312" w:eastAsia="仿宋_GB2312" w:cs="仿宋_GB2312"/>
          <w:color w:val="0C0C0C"/>
          <w:kern w:val="0"/>
          <w:sz w:val="32"/>
          <w:szCs w:val="32"/>
          <w:lang w:val="zh-CN" w:eastAsia="zh-CN" w:bidi="ar-SA"/>
        </w:rPr>
        <w:t>一是强化支部战斗堡垒作用。通过调整支部数量，实现“党建+业务”高度融合，充分发挥教师党支部凝聚师生的战斗堡垒作用，培养政治觉悟高、理论素质好、业务能力强的高素质教师队伍，以优良的党风促校风、带教风、正学风、强师风，为学校高质量发展提供人才保障和组织保障。二是积极发挥党员先锋模范作用。疫情期间组织一批党员和入党积极分子前往隔离酒店值班，让党旗在疫情防控一线高高飘扬。</w:t>
      </w:r>
    </w:p>
    <w:p>
      <w:pPr>
        <w:rPr>
          <w:rFonts w:hint="eastAsia" w:ascii="仿宋_GB2312" w:hAnsi="仿宋" w:eastAsia="仿宋_GB2312"/>
          <w:b/>
          <w:bCs/>
          <w:sz w:val="32"/>
          <w:szCs w:val="32"/>
        </w:rPr>
      </w:pPr>
      <w:r>
        <w:rPr>
          <w:rFonts w:hint="eastAsia" w:ascii="仿宋_GB2312" w:hAnsi="仿宋" w:eastAsia="仿宋_GB2312"/>
          <w:b/>
          <w:bCs/>
          <w:sz w:val="32"/>
          <w:szCs w:val="32"/>
          <w:lang w:val="en-US" w:eastAsia="zh-CN"/>
        </w:rPr>
        <w:t>2</w:t>
      </w:r>
      <w:r>
        <w:rPr>
          <w:rFonts w:ascii="仿宋_GB2312" w:hAnsi="仿宋" w:eastAsia="仿宋_GB2312"/>
          <w:b/>
          <w:bCs/>
          <w:sz w:val="32"/>
          <w:szCs w:val="32"/>
        </w:rPr>
        <w:t>.1.4</w:t>
      </w:r>
      <w:r>
        <w:rPr>
          <w:rFonts w:hint="eastAsia" w:ascii="仿宋_GB2312" w:hAnsi="仿宋" w:eastAsia="仿宋_GB2312"/>
          <w:b/>
          <w:bCs/>
          <w:sz w:val="32"/>
          <w:szCs w:val="32"/>
        </w:rPr>
        <w:t>充分发挥政治核心作用</w:t>
      </w:r>
    </w:p>
    <w:p>
      <w:pPr>
        <w:spacing w:line="600" w:lineRule="exact"/>
        <w:ind w:firstLine="640" w:firstLineChars="200"/>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zh-CN" w:eastAsia="zh-CN" w:bidi="ar-SA"/>
        </w:rPr>
        <w:t>推动党建工作和学校教育教学工作深度融合。我校全面落实党委领导下的校长负责制，把党建工作融入到党对学校教育工作全面领导的体制和机制中，融入到学校教育教学管理全过程和各个环节，充分发挥好学校党组织把方向、管大局、作决策、保落实的职责。</w:t>
      </w:r>
    </w:p>
    <w:p>
      <w:pPr>
        <w:pStyle w:val="4"/>
        <w:bidi w:val="0"/>
        <w:rPr>
          <w:rFonts w:hint="default"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11" w:name="_Toc24207"/>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2.2立德树人</w:t>
      </w:r>
      <w:bookmarkEnd w:id="11"/>
    </w:p>
    <w:p>
      <w:pPr>
        <w:pStyle w:val="14"/>
        <w:spacing w:line="600" w:lineRule="exact"/>
        <w:ind w:firstLine="640" w:firstLineChars="200"/>
        <w:jc w:val="both"/>
        <w:rPr>
          <w:rFonts w:hint="eastAsia"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rPr>
        <w:t>学校深入贯彻落实《国家职业教育改革实施方案》，开足思想政治课，增强工作的针对性和时效性，把思想政治工作贯穿教育教学全过程，实现了全过程、全方位、全员育人的工作格局。</w:t>
      </w:r>
    </w:p>
    <w:p>
      <w:pPr>
        <w:pStyle w:val="14"/>
        <w:spacing w:line="600" w:lineRule="exact"/>
        <w:ind w:firstLine="640" w:firstLineChars="200"/>
        <w:jc w:val="both"/>
        <w:rPr>
          <w:rFonts w:hint="eastAsia" w:ascii="仿宋_GB2312" w:hAnsi="仿宋_GB2312" w:eastAsia="仿宋_GB2312" w:cs="仿宋_GB2312"/>
          <w:color w:val="0C0C0C"/>
          <w:sz w:val="30"/>
          <w:szCs w:val="30"/>
          <w:lang w:eastAsia="zh-CN"/>
        </w:rPr>
      </w:pPr>
      <w:r>
        <w:rPr>
          <w:rFonts w:hint="eastAsia" w:ascii="仿宋_GB2312" w:hAnsi="仿宋_GB2312" w:eastAsia="仿宋_GB2312" w:cs="仿宋_GB2312"/>
          <w:color w:val="0C0C0C"/>
          <w:sz w:val="32"/>
          <w:szCs w:val="32"/>
        </w:rPr>
        <w:t>抓好课堂主阵地，落实立德树人根本任务；建好有形空间阵地，发挥环境育人功能；用好网络学校思想政治阵地，抓好舆论引导；联系好企业阵地，推动加强校企协同育人。学校成立了校政企合作咨询委员会，分别与与鹰潭高新技术产业开发区、余江工业园区、余江眼镜园区签署校政合作协议，与鹰潭水晶光电有限公司、江西沃德尔科技有限公司等公司互签校企全面战略合作协议</w:t>
      </w:r>
      <w:r>
        <w:rPr>
          <w:rFonts w:ascii="仿宋_GB2312" w:hAnsi="仿宋_GB2312" w:eastAsia="仿宋_GB2312" w:cs="仿宋_GB2312"/>
          <w:color w:val="0C0C0C"/>
          <w:sz w:val="32"/>
          <w:szCs w:val="32"/>
        </w:rPr>
        <w:t>，全面开创了学校、政府、企业合作</w:t>
      </w:r>
      <w:r>
        <w:rPr>
          <w:rFonts w:hint="eastAsia" w:ascii="仿宋_GB2312" w:hAnsi="仿宋_GB2312" w:eastAsia="仿宋_GB2312" w:cs="仿宋_GB2312"/>
          <w:color w:val="0C0C0C"/>
          <w:sz w:val="32"/>
          <w:szCs w:val="32"/>
        </w:rPr>
        <w:t>育人</w:t>
      </w:r>
      <w:r>
        <w:rPr>
          <w:rFonts w:ascii="仿宋_GB2312" w:hAnsi="仿宋_GB2312" w:eastAsia="仿宋_GB2312" w:cs="仿宋_GB2312"/>
          <w:color w:val="0C0C0C"/>
          <w:sz w:val="32"/>
          <w:szCs w:val="32"/>
        </w:rPr>
        <w:t>新局面。</w:t>
      </w:r>
      <w:r>
        <w:rPr>
          <w:rFonts w:hint="eastAsia" w:ascii="仿宋_GB2312" w:eastAsia="仿宋_GB2312" w:cs="仿宋_GB2312"/>
          <w:color w:val="000000"/>
          <w:sz w:val="32"/>
          <w:szCs w:val="32"/>
          <w:shd w:val="clear" w:color="auto" w:fill="FFFFFF"/>
          <w:lang w:eastAsia="zh-Hans"/>
        </w:rPr>
        <w:t>为了</w:t>
      </w:r>
      <w:r>
        <w:rPr>
          <w:rFonts w:hint="eastAsia" w:ascii="仿宋_GB2312" w:eastAsia="仿宋_GB2312" w:cs="仿宋_GB2312"/>
          <w:color w:val="000000"/>
          <w:sz w:val="32"/>
          <w:szCs w:val="32"/>
          <w:shd w:val="clear" w:color="auto" w:fill="FFFFFF"/>
        </w:rPr>
        <w:t>培育和弘扬劳动精神、劳模精神和工匠精神，开设了每个学期36学时的劳动教育课</w:t>
      </w:r>
      <w:r>
        <w:rPr>
          <w:rFonts w:hint="eastAsia" w:ascii="仿宋_GB2312" w:eastAsia="仿宋_GB2312" w:cs="仿宋_GB2312"/>
          <w:color w:val="000000"/>
          <w:sz w:val="32"/>
          <w:szCs w:val="32"/>
          <w:shd w:val="clear" w:color="auto" w:fill="FFFFFF"/>
          <w:lang w:eastAsia="zh-CN"/>
        </w:rPr>
        <w:t>。</w:t>
      </w:r>
      <w:r>
        <w:rPr>
          <w:rFonts w:hint="eastAsia" w:ascii="仿宋_GB2312" w:hAnsi="仿宋_GB2312" w:eastAsia="仿宋_GB2312" w:cs="仿宋_GB2312"/>
          <w:color w:val="0C0C0C"/>
          <w:sz w:val="30"/>
          <w:szCs w:val="30"/>
        </w:rPr>
        <w:t>积极开展国防教育</w:t>
      </w:r>
      <w:r>
        <w:rPr>
          <w:rFonts w:hint="eastAsia" w:ascii="仿宋_GB2312" w:hAnsi="仿宋_GB2312" w:eastAsia="仿宋_GB2312" w:cs="仿宋_GB2312"/>
          <w:color w:val="0C0C0C"/>
          <w:sz w:val="30"/>
          <w:szCs w:val="30"/>
          <w:lang w:eastAsia="zh-CN"/>
        </w:rPr>
        <w:t>，顺利完成</w:t>
      </w:r>
      <w:r>
        <w:rPr>
          <w:rFonts w:hint="eastAsia" w:ascii="仿宋_GB2312" w:hAnsi="仿宋_GB2312" w:eastAsia="仿宋_GB2312" w:cs="仿宋_GB2312"/>
          <w:color w:val="0C0C0C"/>
          <w:sz w:val="30"/>
          <w:szCs w:val="30"/>
        </w:rPr>
        <w:t>新生军训</w:t>
      </w:r>
      <w:r>
        <w:rPr>
          <w:rFonts w:hint="eastAsia" w:ascii="仿宋_GB2312" w:hAnsi="仿宋_GB2312" w:eastAsia="仿宋_GB2312" w:cs="仿宋_GB2312"/>
          <w:color w:val="0C0C0C"/>
          <w:sz w:val="30"/>
          <w:szCs w:val="30"/>
          <w:lang w:eastAsia="zh-CN"/>
        </w:rPr>
        <w:t>，</w:t>
      </w:r>
      <w:r>
        <w:rPr>
          <w:rFonts w:hint="eastAsia" w:ascii="仿宋_GB2312" w:hAnsi="仿宋_GB2312" w:eastAsia="仿宋_GB2312" w:cs="仿宋_GB2312"/>
          <w:color w:val="0C0C0C"/>
          <w:sz w:val="30"/>
          <w:szCs w:val="30"/>
        </w:rPr>
        <w:t>激发</w:t>
      </w:r>
      <w:r>
        <w:rPr>
          <w:rFonts w:hint="eastAsia" w:ascii="仿宋_GB2312" w:hAnsi="仿宋_GB2312" w:eastAsia="仿宋_GB2312" w:cs="仿宋_GB2312"/>
          <w:color w:val="0C0C0C"/>
          <w:sz w:val="30"/>
          <w:szCs w:val="30"/>
          <w:lang w:eastAsia="zh-CN"/>
        </w:rPr>
        <w:t>了</w:t>
      </w:r>
      <w:r>
        <w:rPr>
          <w:rFonts w:hint="eastAsia" w:ascii="仿宋_GB2312" w:hAnsi="仿宋_GB2312" w:eastAsia="仿宋_GB2312" w:cs="仿宋_GB2312"/>
          <w:color w:val="0C0C0C"/>
          <w:sz w:val="30"/>
          <w:szCs w:val="30"/>
        </w:rPr>
        <w:t>学生的爱国热情，增强学生的组织纪律性，锻炼</w:t>
      </w:r>
      <w:r>
        <w:rPr>
          <w:rFonts w:hint="eastAsia" w:ascii="仿宋_GB2312" w:hAnsi="仿宋_GB2312" w:eastAsia="仿宋_GB2312" w:cs="仿宋_GB2312"/>
          <w:color w:val="0C0C0C"/>
          <w:sz w:val="30"/>
          <w:szCs w:val="30"/>
          <w:lang w:eastAsia="zh-CN"/>
        </w:rPr>
        <w:t>了</w:t>
      </w:r>
      <w:r>
        <w:rPr>
          <w:rFonts w:hint="eastAsia" w:ascii="仿宋_GB2312" w:hAnsi="仿宋_GB2312" w:eastAsia="仿宋_GB2312" w:cs="仿宋_GB2312"/>
          <w:color w:val="0C0C0C"/>
          <w:sz w:val="30"/>
          <w:szCs w:val="30"/>
        </w:rPr>
        <w:t>学生吃苦耐劳</w:t>
      </w:r>
      <w:r>
        <w:rPr>
          <w:rFonts w:hint="eastAsia" w:ascii="仿宋_GB2312" w:hAnsi="仿宋_GB2312" w:eastAsia="仿宋_GB2312" w:cs="仿宋_GB2312"/>
          <w:color w:val="0C0C0C"/>
          <w:sz w:val="30"/>
          <w:szCs w:val="30"/>
          <w:lang w:eastAsia="zh-CN"/>
        </w:rPr>
        <w:t>的</w:t>
      </w:r>
      <w:r>
        <w:rPr>
          <w:rFonts w:hint="eastAsia" w:ascii="仿宋_GB2312" w:hAnsi="仿宋_GB2312" w:eastAsia="仿宋_GB2312" w:cs="仿宋_GB2312"/>
          <w:color w:val="0C0C0C"/>
          <w:sz w:val="30"/>
          <w:szCs w:val="30"/>
        </w:rPr>
        <w:t>精神</w:t>
      </w:r>
      <w:r>
        <w:rPr>
          <w:rFonts w:hint="eastAsia" w:ascii="仿宋_GB2312" w:hAnsi="仿宋_GB2312" w:eastAsia="仿宋_GB2312" w:cs="仿宋_GB2312"/>
          <w:color w:val="0C0C0C"/>
          <w:sz w:val="30"/>
          <w:szCs w:val="30"/>
          <w:lang w:eastAsia="zh-CN"/>
        </w:rPr>
        <w:t>，养成了宿舍内务整理的好习惯</w:t>
      </w:r>
      <w:r>
        <w:rPr>
          <w:rFonts w:hint="eastAsia" w:ascii="仿宋_GB2312" w:hAnsi="仿宋_GB2312" w:eastAsia="仿宋_GB2312" w:cs="仿宋_GB2312"/>
          <w:color w:val="0C0C0C"/>
          <w:sz w:val="30"/>
          <w:szCs w:val="30"/>
        </w:rPr>
        <w:t>。加强安全教育管理，确保校园稳定安全</w:t>
      </w:r>
      <w:r>
        <w:rPr>
          <w:rFonts w:hint="eastAsia" w:ascii="仿宋_GB2312" w:hAnsi="仿宋_GB2312" w:eastAsia="仿宋_GB2312" w:cs="仿宋_GB2312"/>
          <w:color w:val="0C0C0C"/>
          <w:sz w:val="30"/>
          <w:szCs w:val="30"/>
          <w:lang w:eastAsia="zh-CN"/>
        </w:rPr>
        <w:t>，组织学生</w:t>
      </w:r>
      <w:r>
        <w:rPr>
          <w:rFonts w:hint="eastAsia" w:ascii="仿宋_GB2312" w:hAnsi="仿宋_GB2312" w:eastAsia="仿宋_GB2312" w:cs="仿宋_GB2312"/>
          <w:color w:val="0C0C0C"/>
          <w:sz w:val="30"/>
          <w:szCs w:val="30"/>
        </w:rPr>
        <w:t>开展“安全教育月活动”</w:t>
      </w:r>
      <w:r>
        <w:rPr>
          <w:rFonts w:hint="eastAsia" w:ascii="仿宋_GB2312" w:hAnsi="仿宋_GB2312" w:eastAsia="仿宋_GB2312" w:cs="仿宋_GB2312"/>
          <w:color w:val="0C0C0C"/>
          <w:sz w:val="30"/>
          <w:szCs w:val="30"/>
          <w:lang w:eastAsia="zh-CN"/>
        </w:rPr>
        <w:t>和每周一次的主题班会活动，</w:t>
      </w:r>
      <w:r>
        <w:rPr>
          <w:rFonts w:hint="eastAsia" w:ascii="仿宋_GB2312" w:hAnsi="仿宋_GB2312" w:eastAsia="仿宋_GB2312" w:cs="仿宋_GB2312"/>
          <w:color w:val="0C0C0C"/>
          <w:sz w:val="30"/>
          <w:szCs w:val="30"/>
        </w:rPr>
        <w:t>通过讲座、报告会、主题班会、宣传栏等形式，使学生了解安全基本知识和法纪校规，从而树立起 “预防为主， 安全第一” 的意识。开展“</w:t>
      </w:r>
      <w:r>
        <w:rPr>
          <w:rFonts w:hint="eastAsia" w:ascii="仿宋_GB2312" w:hAnsi="仿宋_GB2312" w:eastAsia="仿宋_GB2312" w:cs="仿宋_GB2312"/>
          <w:color w:val="0C0C0C"/>
          <w:sz w:val="30"/>
          <w:szCs w:val="30"/>
          <w:lang w:eastAsia="zh-CN"/>
        </w:rPr>
        <w:t>优秀学生国旗下讲话</w:t>
      </w:r>
      <w:r>
        <w:rPr>
          <w:rFonts w:hint="eastAsia" w:ascii="仿宋_GB2312" w:hAnsi="仿宋_GB2312" w:eastAsia="仿宋_GB2312" w:cs="仿宋_GB2312"/>
          <w:color w:val="0C0C0C"/>
          <w:sz w:val="30"/>
          <w:szCs w:val="30"/>
        </w:rPr>
        <w:t>”活动，充分发挥先进典型在学生中的示范、辐射作用，用先进带动后进，促进了良好学风的形成。</w:t>
      </w:r>
      <w:r>
        <w:rPr>
          <w:rFonts w:hint="eastAsia" w:ascii="仿宋_GB2312" w:hAnsi="仿宋_GB2312" w:eastAsia="仿宋_GB2312" w:cs="仿宋_GB2312"/>
          <w:color w:val="0C0C0C"/>
          <w:sz w:val="30"/>
          <w:szCs w:val="30"/>
          <w:lang w:val="en-US" w:eastAsia="zh-CN"/>
        </w:rPr>
        <w:t>学校</w:t>
      </w:r>
      <w:r>
        <w:rPr>
          <w:rFonts w:hint="eastAsia" w:ascii="仿宋_GB2312" w:hAnsi="仿宋_GB2312" w:eastAsia="仿宋_GB2312" w:cs="仿宋_GB2312"/>
          <w:color w:val="0C0C0C"/>
          <w:sz w:val="30"/>
          <w:szCs w:val="30"/>
          <w:lang w:eastAsia="zh-CN"/>
        </w:rPr>
        <w:t>每月</w:t>
      </w:r>
      <w:r>
        <w:rPr>
          <w:rFonts w:hint="eastAsia" w:ascii="仿宋_GB2312" w:hAnsi="仿宋_GB2312" w:eastAsia="仿宋_GB2312" w:cs="仿宋_GB2312"/>
          <w:color w:val="0C0C0C"/>
          <w:sz w:val="30"/>
          <w:szCs w:val="30"/>
        </w:rPr>
        <w:t>开展</w:t>
      </w:r>
      <w:r>
        <w:rPr>
          <w:rFonts w:hint="eastAsia" w:ascii="仿宋_GB2312" w:hAnsi="仿宋_GB2312" w:eastAsia="仿宋_GB2312" w:cs="仿宋_GB2312"/>
          <w:color w:val="0C0C0C"/>
          <w:sz w:val="30"/>
          <w:szCs w:val="30"/>
          <w:lang w:eastAsia="zh-CN"/>
        </w:rPr>
        <w:t>一次星级</w:t>
      </w:r>
      <w:r>
        <w:rPr>
          <w:rFonts w:hint="eastAsia" w:ascii="仿宋_GB2312" w:hAnsi="仿宋_GB2312" w:eastAsia="仿宋_GB2312" w:cs="仿宋_GB2312"/>
          <w:color w:val="0C0C0C"/>
          <w:sz w:val="30"/>
          <w:szCs w:val="30"/>
        </w:rPr>
        <w:t>宿舍评比活动，</w:t>
      </w:r>
      <w:r>
        <w:rPr>
          <w:rFonts w:hint="eastAsia" w:ascii="仿宋_GB2312" w:hAnsi="仿宋_GB2312" w:eastAsia="仿宋_GB2312" w:cs="仿宋_GB2312"/>
          <w:color w:val="0C0C0C"/>
          <w:sz w:val="30"/>
          <w:szCs w:val="30"/>
          <w:lang w:eastAsia="zh-CN"/>
        </w:rPr>
        <w:t>根据宿舍内务整理、宿舍纪律安全评比星级宿舍，每月</w:t>
      </w:r>
      <w:r>
        <w:rPr>
          <w:rFonts w:hint="eastAsia" w:ascii="仿宋_GB2312" w:hAnsi="仿宋_GB2312" w:eastAsia="仿宋_GB2312" w:cs="仿宋_GB2312"/>
          <w:color w:val="0C0C0C"/>
          <w:sz w:val="30"/>
          <w:szCs w:val="30"/>
          <w:lang w:val="en-US" w:eastAsia="zh-CN"/>
        </w:rPr>
        <w:t>评出星级宿舍30%。</w:t>
      </w:r>
      <w:r>
        <w:rPr>
          <w:rFonts w:hint="eastAsia" w:ascii="仿宋_GB2312" w:hAnsi="仿宋_GB2312" w:eastAsia="仿宋_GB2312" w:cs="仿宋_GB2312"/>
          <w:color w:val="0C0C0C"/>
          <w:sz w:val="30"/>
          <w:szCs w:val="30"/>
          <w:lang w:eastAsia="zh-CN"/>
        </w:rPr>
        <w:t>通过评比星级宿舍，学生在宿舍的生活和学习习惯得到了大的改善。</w:t>
      </w:r>
      <w:r>
        <w:rPr>
          <w:rFonts w:hint="eastAsia" w:ascii="仿宋_GB2312" w:hAnsi="仿宋_GB2312" w:eastAsia="仿宋_GB2312" w:cs="仿宋_GB2312"/>
          <w:color w:val="0C0C0C"/>
          <w:sz w:val="30"/>
          <w:szCs w:val="30"/>
        </w:rPr>
        <w:t>针对不同</w:t>
      </w:r>
      <w:r>
        <w:rPr>
          <w:rFonts w:hint="eastAsia" w:ascii="仿宋_GB2312" w:hAnsi="仿宋_GB2312" w:eastAsia="仿宋_GB2312" w:cs="仿宋_GB2312"/>
          <w:color w:val="0C0C0C"/>
          <w:sz w:val="30"/>
          <w:szCs w:val="30"/>
          <w:lang w:eastAsia="zh-CN"/>
        </w:rPr>
        <w:t>违纪行为的</w:t>
      </w:r>
      <w:r>
        <w:rPr>
          <w:rFonts w:hint="eastAsia" w:ascii="仿宋_GB2312" w:hAnsi="仿宋_GB2312" w:eastAsia="仿宋_GB2312" w:cs="仿宋_GB2312"/>
          <w:color w:val="0C0C0C"/>
          <w:sz w:val="30"/>
          <w:szCs w:val="30"/>
        </w:rPr>
        <w:t>学生，</w:t>
      </w:r>
      <w:r>
        <w:rPr>
          <w:rFonts w:hint="eastAsia" w:ascii="仿宋_GB2312" w:hAnsi="仿宋_GB2312" w:eastAsia="仿宋_GB2312" w:cs="仿宋_GB2312"/>
          <w:color w:val="0C0C0C"/>
          <w:sz w:val="30"/>
          <w:szCs w:val="30"/>
          <w:lang w:eastAsia="zh-CN"/>
        </w:rPr>
        <w:t>采取班主任、学工处分级</w:t>
      </w:r>
      <w:r>
        <w:rPr>
          <w:rFonts w:hint="eastAsia" w:ascii="仿宋_GB2312" w:hAnsi="仿宋_GB2312" w:eastAsia="仿宋_GB2312" w:cs="仿宋_GB2312"/>
          <w:color w:val="0C0C0C"/>
          <w:sz w:val="30"/>
          <w:szCs w:val="30"/>
        </w:rPr>
        <w:t>开展针对性强、实效性强的思想教育工作，增强学生</w:t>
      </w:r>
      <w:r>
        <w:rPr>
          <w:rFonts w:hint="eastAsia" w:ascii="仿宋_GB2312" w:hAnsi="仿宋_GB2312" w:eastAsia="仿宋_GB2312" w:cs="仿宋_GB2312"/>
          <w:color w:val="0C0C0C"/>
          <w:sz w:val="30"/>
          <w:szCs w:val="30"/>
          <w:lang w:eastAsia="zh-CN"/>
        </w:rPr>
        <w:t>对违纪行为</w:t>
      </w:r>
      <w:r>
        <w:rPr>
          <w:rFonts w:hint="eastAsia" w:ascii="仿宋_GB2312" w:hAnsi="仿宋_GB2312" w:eastAsia="仿宋_GB2312" w:cs="仿宋_GB2312"/>
          <w:color w:val="0C0C0C"/>
          <w:sz w:val="30"/>
          <w:szCs w:val="30"/>
        </w:rPr>
        <w:t>的</w:t>
      </w:r>
      <w:r>
        <w:rPr>
          <w:rFonts w:hint="eastAsia" w:ascii="仿宋_GB2312" w:hAnsi="仿宋_GB2312" w:eastAsia="仿宋_GB2312" w:cs="仿宋_GB2312"/>
          <w:color w:val="0C0C0C"/>
          <w:sz w:val="30"/>
          <w:szCs w:val="30"/>
          <w:lang w:eastAsia="zh-CN"/>
        </w:rPr>
        <w:t>深刻认识</w:t>
      </w:r>
      <w:r>
        <w:rPr>
          <w:rFonts w:hint="eastAsia" w:ascii="仿宋_GB2312" w:hAnsi="仿宋_GB2312" w:eastAsia="仿宋_GB2312" w:cs="仿宋_GB2312"/>
          <w:color w:val="0C0C0C"/>
          <w:sz w:val="30"/>
          <w:szCs w:val="30"/>
        </w:rPr>
        <w:t>，同时</w:t>
      </w:r>
      <w:r>
        <w:rPr>
          <w:rFonts w:hint="eastAsia" w:ascii="仿宋_GB2312" w:hAnsi="仿宋_GB2312" w:eastAsia="仿宋_GB2312" w:cs="仿宋_GB2312"/>
          <w:color w:val="0C0C0C"/>
          <w:sz w:val="30"/>
          <w:szCs w:val="30"/>
          <w:lang w:eastAsia="zh-CN"/>
        </w:rPr>
        <w:t>通过“习惯养成教育培训班”的开设，</w:t>
      </w:r>
      <w:r>
        <w:rPr>
          <w:rFonts w:hint="eastAsia" w:ascii="仿宋_GB2312" w:hAnsi="仿宋_GB2312" w:eastAsia="仿宋_GB2312" w:cs="仿宋_GB2312"/>
          <w:color w:val="0C0C0C"/>
          <w:sz w:val="30"/>
          <w:szCs w:val="30"/>
        </w:rPr>
        <w:t>加强</w:t>
      </w:r>
      <w:r>
        <w:rPr>
          <w:rFonts w:hint="eastAsia" w:ascii="仿宋_GB2312" w:hAnsi="仿宋_GB2312" w:eastAsia="仿宋_GB2312" w:cs="仿宋_GB2312"/>
          <w:color w:val="0C0C0C"/>
          <w:sz w:val="30"/>
          <w:szCs w:val="30"/>
          <w:lang w:eastAsia="zh-CN"/>
        </w:rPr>
        <w:t>了</w:t>
      </w:r>
      <w:r>
        <w:rPr>
          <w:rFonts w:hint="eastAsia" w:ascii="仿宋_GB2312" w:hAnsi="仿宋_GB2312" w:eastAsia="仿宋_GB2312" w:cs="仿宋_GB2312"/>
          <w:color w:val="0C0C0C"/>
          <w:sz w:val="30"/>
          <w:szCs w:val="30"/>
        </w:rPr>
        <w:t>对违纪学生的</w:t>
      </w:r>
      <w:r>
        <w:rPr>
          <w:rFonts w:hint="eastAsia" w:ascii="仿宋_GB2312" w:hAnsi="仿宋_GB2312" w:eastAsia="仿宋_GB2312" w:cs="仿宋_GB2312"/>
          <w:color w:val="0C0C0C"/>
          <w:sz w:val="30"/>
          <w:szCs w:val="30"/>
          <w:lang w:eastAsia="zh-CN"/>
        </w:rPr>
        <w:t>集中教育，起到了</w:t>
      </w:r>
      <w:r>
        <w:rPr>
          <w:rFonts w:hint="eastAsia" w:ascii="仿宋_GB2312" w:hAnsi="仿宋_GB2312" w:eastAsia="仿宋_GB2312" w:cs="仿宋_GB2312"/>
          <w:color w:val="0C0C0C"/>
          <w:sz w:val="30"/>
          <w:szCs w:val="30"/>
        </w:rPr>
        <w:t>强化警示作用。</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12" w:name="_Toc14521"/>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2.3在校体验</w:t>
      </w:r>
      <w:bookmarkEnd w:id="12"/>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default"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为更好地掌握我校学生的在校体验情况以及实习实训情况，专门建立了在校生满意情况调查、实习实训跟踪调查以及毕业生跟踪调查机制，定期通过调查问卷、电话访谈以及座谈会等形式开展情况调研。</w:t>
      </w:r>
    </w:p>
    <w:p>
      <w:pPr>
        <w:pStyle w:val="5"/>
        <w:bidi w:val="0"/>
        <w:rPr>
          <w:rFonts w:hint="default" w:ascii="仿宋_GB2312" w:hAnsi="仿宋_GB2312" w:eastAsia="仿宋_GB2312" w:cs="仿宋_GB2312"/>
          <w:b/>
          <w:bCs/>
          <w:color w:val="0C0C0C"/>
          <w:kern w:val="0"/>
          <w:sz w:val="32"/>
          <w:szCs w:val="32"/>
          <w:lang w:val="en-US" w:eastAsia="zh-CN" w:bidi="ar-SA"/>
        </w:rPr>
      </w:pPr>
      <w:bookmarkStart w:id="13" w:name="_Toc7257"/>
      <w:r>
        <w:rPr>
          <w:rFonts w:hint="eastAsia" w:ascii="仿宋_GB2312" w:hAnsi="仿宋_GB2312" w:eastAsia="仿宋_GB2312" w:cs="仿宋_GB2312"/>
          <w:b/>
          <w:bCs/>
          <w:color w:val="0C0C0C"/>
          <w:kern w:val="0"/>
          <w:sz w:val="32"/>
          <w:szCs w:val="32"/>
          <w:lang w:val="en-US" w:eastAsia="zh-CN" w:bidi="ar-SA"/>
        </w:rPr>
        <w:t>2.3.1理论学习满意度</w:t>
      </w:r>
      <w:bookmarkEnd w:id="13"/>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color w:val="0C0C0C"/>
          <w:kern w:val="0"/>
          <w:sz w:val="32"/>
          <w:szCs w:val="32"/>
          <w:lang w:val="en-US" w:eastAsia="zh-CN" w:bidi="ar-SA"/>
        </w:rPr>
      </w:pPr>
      <w:r>
        <w:rPr>
          <w:rFonts w:hint="default" w:ascii="仿宋_GB2312" w:hAnsi="仿宋_GB2312" w:eastAsia="仿宋_GB2312" w:cs="仿宋_GB2312"/>
          <w:color w:val="0C0C0C"/>
          <w:kern w:val="0"/>
          <w:sz w:val="32"/>
          <w:szCs w:val="32"/>
          <w:lang w:val="en-US" w:eastAsia="zh-CN" w:bidi="ar-SA"/>
        </w:rPr>
        <w:t>为</w:t>
      </w:r>
      <w:r>
        <w:rPr>
          <w:rFonts w:hint="eastAsia" w:ascii="仿宋_GB2312" w:hAnsi="仿宋_GB2312" w:eastAsia="仿宋_GB2312" w:cs="仿宋_GB2312"/>
          <w:color w:val="0C0C0C"/>
          <w:kern w:val="0"/>
          <w:sz w:val="32"/>
          <w:szCs w:val="32"/>
          <w:lang w:val="en-US" w:eastAsia="zh-CN" w:bidi="ar-SA"/>
        </w:rPr>
        <w:t>充分了解课堂现状，</w:t>
      </w:r>
      <w:r>
        <w:rPr>
          <w:rFonts w:hint="default" w:ascii="仿宋_GB2312" w:hAnsi="仿宋_GB2312" w:eastAsia="仿宋_GB2312" w:cs="仿宋_GB2312"/>
          <w:color w:val="0C0C0C"/>
          <w:kern w:val="0"/>
          <w:sz w:val="32"/>
          <w:szCs w:val="32"/>
          <w:lang w:val="en-US" w:eastAsia="zh-CN" w:bidi="ar-SA"/>
        </w:rPr>
        <w:t>全面掌握我校学生</w:t>
      </w:r>
      <w:r>
        <w:rPr>
          <w:rFonts w:hint="eastAsia" w:ascii="仿宋_GB2312" w:hAnsi="仿宋_GB2312" w:eastAsia="仿宋_GB2312" w:cs="仿宋_GB2312"/>
          <w:color w:val="0C0C0C"/>
          <w:kern w:val="0"/>
          <w:sz w:val="32"/>
          <w:szCs w:val="32"/>
          <w:lang w:val="en-US" w:eastAsia="zh-CN" w:bidi="ar-SA"/>
        </w:rPr>
        <w:t>理论学习状况，进一步探索职业学校教育教学中的理论学习发展，通过电子问卷和电话抽样访谈的形式对在校2022级、2021级学生以及2020级实习实训学生开展了调研，从而深入了解学生对理论学习的看法和观点。</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default"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通过电子问卷收到的有效答卷，分析数据可知（具体数据如下图），学生总体上对理论学习表示满意，对我校教师的职业素养、理论授课方式和内容等表示出高度的认可和满意度。通过电话访谈，学生们在也展现出对专业理论知识的高度需求以及对政治理论学习的认同感。</w:t>
      </w:r>
    </w:p>
    <w:p>
      <w:pPr>
        <w:keepNext w:val="0"/>
        <w:keepLines w:val="0"/>
        <w:pageBreakBefore w:val="0"/>
        <w:widowControl w:val="0"/>
        <w:kinsoku/>
        <w:wordWrap/>
        <w:overflowPunct/>
        <w:topLinePunct w:val="0"/>
        <w:autoSpaceDE/>
        <w:autoSpaceDN/>
        <w:bidi w:val="0"/>
        <w:adjustRightInd/>
        <w:snapToGrid/>
        <w:spacing w:line="240" w:lineRule="auto"/>
        <w:ind w:firstLine="600" w:firstLineChars="200"/>
        <w:jc w:val="left"/>
        <w:textAlignment w:val="auto"/>
        <w:rPr>
          <w:rFonts w:hint="default" w:ascii="仿宋" w:hAnsi="仿宋" w:eastAsia="仿宋" w:cs="仿宋"/>
          <w:sz w:val="30"/>
          <w:szCs w:val="30"/>
          <w:lang w:val="en-US" w:eastAsia="zh-CN"/>
        </w:rPr>
      </w:pPr>
      <w:r>
        <w:rPr>
          <w:rFonts w:hint="default" w:ascii="仿宋" w:hAnsi="仿宋" w:eastAsia="仿宋" w:cs="仿宋"/>
          <w:sz w:val="30"/>
          <w:szCs w:val="30"/>
          <w:lang w:val="en-US" w:eastAsia="zh-CN"/>
        </w:rPr>
        <w:drawing>
          <wp:inline distT="0" distB="0" distL="114300" distR="114300">
            <wp:extent cx="2953385" cy="2410460"/>
            <wp:effectExtent l="0" t="0" r="18415" b="8890"/>
            <wp:docPr id="1" name="图片 1" descr="5cd55b79597d17eaaa3c75de6ca3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cd55b79597d17eaaa3c75de6ca3d97"/>
                    <pic:cNvPicPr>
                      <a:picLocks noChangeAspect="1"/>
                    </pic:cNvPicPr>
                  </pic:nvPicPr>
                  <pic:blipFill>
                    <a:blip r:embed="rId8"/>
                    <a:stretch>
                      <a:fillRect/>
                    </a:stretch>
                  </pic:blipFill>
                  <pic:spPr>
                    <a:xfrm>
                      <a:off x="0" y="0"/>
                      <a:ext cx="2953385" cy="2410460"/>
                    </a:xfrm>
                    <a:prstGeom prst="rect">
                      <a:avLst/>
                    </a:prstGeom>
                  </pic:spPr>
                </pic:pic>
              </a:graphicData>
            </a:graphic>
          </wp:inline>
        </w:drawing>
      </w:r>
      <w:r>
        <w:rPr>
          <w:rFonts w:hint="default" w:ascii="仿宋" w:hAnsi="仿宋" w:eastAsia="仿宋" w:cs="仿宋"/>
          <w:sz w:val="30"/>
          <w:szCs w:val="30"/>
          <w:lang w:val="en-US" w:eastAsia="zh-CN"/>
        </w:rPr>
        <w:drawing>
          <wp:inline distT="0" distB="0" distL="114300" distR="114300">
            <wp:extent cx="1482725" cy="2359025"/>
            <wp:effectExtent l="0" t="0" r="3175" b="3175"/>
            <wp:docPr id="3" name="图片 3" descr="fb4ba8037468098805da420154ea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b4ba8037468098805da420154ea15a"/>
                    <pic:cNvPicPr>
                      <a:picLocks noChangeAspect="1"/>
                    </pic:cNvPicPr>
                  </pic:nvPicPr>
                  <pic:blipFill>
                    <a:blip r:embed="rId9"/>
                    <a:stretch>
                      <a:fillRect/>
                    </a:stretch>
                  </pic:blipFill>
                  <pic:spPr>
                    <a:xfrm>
                      <a:off x="0" y="0"/>
                      <a:ext cx="1482725" cy="2359025"/>
                    </a:xfrm>
                    <a:prstGeom prst="rect">
                      <a:avLst/>
                    </a:prstGeom>
                  </pic:spPr>
                </pic:pic>
              </a:graphicData>
            </a:graphic>
          </wp:inline>
        </w:drawing>
      </w:r>
    </w:p>
    <w:p>
      <w:pPr>
        <w:spacing w:line="221" w:lineRule="auto"/>
        <w:jc w:val="center"/>
        <w:rPr>
          <w:rFonts w:hint="default"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图1 理论学习满意度</w:t>
      </w:r>
    </w:p>
    <w:p>
      <w:pPr>
        <w:pStyle w:val="5"/>
        <w:bidi w:val="0"/>
        <w:rPr>
          <w:rFonts w:hint="eastAsia" w:ascii="仿宋_GB2312" w:hAnsi="仿宋_GB2312" w:eastAsia="仿宋_GB2312" w:cs="仿宋_GB2312"/>
          <w:b/>
          <w:bCs/>
          <w:color w:val="0C0C0C"/>
          <w:kern w:val="0"/>
          <w:sz w:val="32"/>
          <w:szCs w:val="32"/>
          <w:lang w:val="en-US" w:eastAsia="zh-CN" w:bidi="ar-SA"/>
        </w:rPr>
      </w:pPr>
      <w:bookmarkStart w:id="14" w:name="_Toc12940"/>
      <w:r>
        <w:rPr>
          <w:rFonts w:hint="eastAsia" w:ascii="仿宋_GB2312" w:hAnsi="仿宋_GB2312" w:eastAsia="仿宋_GB2312" w:cs="仿宋_GB2312"/>
          <w:b/>
          <w:bCs/>
          <w:color w:val="0C0C0C"/>
          <w:kern w:val="0"/>
          <w:sz w:val="32"/>
          <w:szCs w:val="32"/>
          <w:lang w:val="en-US" w:eastAsia="zh-CN" w:bidi="ar-SA"/>
        </w:rPr>
        <w:t>2.3.2校园文化满意度</w:t>
      </w:r>
      <w:bookmarkEnd w:id="14"/>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default"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在校园文化建设中，我校坚持“以人为本”，在宣传阵地内容设计以及校园文体活动设计中加关注学生人际交往、能力锻炼以及社会实践等方面的能力培养的实际需要，重视学生发展个性、提升修养、课外实践以及素质拓展等方面的提升需求，形成了自发参与、重点突出、特色鲜明的活动氛围。</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default"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为更好地建设校园文化，营造优秀的文化育人氛围，打造优秀校园文化品牌，宣传统战处特对于在校生开展了电子问卷调查，对校园文化满意度进行调查和分析研究。调查结果显示大多学生对校园内的宣传栏以及文化宣传墙表示认可和满意，多数学生表示通过社团、兴趣小组等活动可以较好地提升素质、拓展能力，相较于2021年的活动参与积极性有了较为显著的提升。</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 w:hAnsi="仿宋" w:eastAsia="仿宋" w:cs="仿宋"/>
          <w:sz w:val="30"/>
          <w:szCs w:val="30"/>
          <w:lang w:val="en-US" w:eastAsia="zh-CN"/>
        </w:rPr>
      </w:pPr>
      <w:r>
        <w:rPr>
          <w:rFonts w:hint="default" w:ascii="仿宋" w:hAnsi="仿宋" w:eastAsia="仿宋" w:cs="仿宋"/>
          <w:sz w:val="30"/>
          <w:szCs w:val="30"/>
          <w:lang w:val="en-US" w:eastAsia="zh-CN"/>
        </w:rPr>
        <w:drawing>
          <wp:inline distT="0" distB="0" distL="114300" distR="114300">
            <wp:extent cx="5387340" cy="2226945"/>
            <wp:effectExtent l="0" t="0" r="3810" b="1905"/>
            <wp:docPr id="4" name="图片 4" descr="c475ae4d15b128b3ef3fbfdec41a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475ae4d15b128b3ef3fbfdec41a287"/>
                    <pic:cNvPicPr>
                      <a:picLocks noChangeAspect="1"/>
                    </pic:cNvPicPr>
                  </pic:nvPicPr>
                  <pic:blipFill>
                    <a:blip r:embed="rId10"/>
                    <a:stretch>
                      <a:fillRect/>
                    </a:stretch>
                  </pic:blipFill>
                  <pic:spPr>
                    <a:xfrm>
                      <a:off x="0" y="0"/>
                      <a:ext cx="5387340" cy="2226945"/>
                    </a:xfrm>
                    <a:prstGeom prst="rect">
                      <a:avLst/>
                    </a:prstGeom>
                  </pic:spPr>
                </pic:pic>
              </a:graphicData>
            </a:graphic>
          </wp:inline>
        </w:drawing>
      </w:r>
      <w:r>
        <w:rPr>
          <w:rFonts w:hint="default" w:ascii="仿宋" w:hAnsi="仿宋" w:eastAsia="仿宋" w:cs="仿宋"/>
          <w:sz w:val="30"/>
          <w:szCs w:val="30"/>
          <w:lang w:val="en-US" w:eastAsia="zh-CN"/>
        </w:rPr>
        <w:drawing>
          <wp:inline distT="0" distB="0" distL="114300" distR="114300">
            <wp:extent cx="6061710" cy="2514600"/>
            <wp:effectExtent l="0" t="0" r="15240" b="0"/>
            <wp:docPr id="5" name="图片 5" descr="94e489a1f38e0c5329e300ca61f4b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4e489a1f38e0c5329e300ca61f4b41"/>
                    <pic:cNvPicPr>
                      <a:picLocks noChangeAspect="1"/>
                    </pic:cNvPicPr>
                  </pic:nvPicPr>
                  <pic:blipFill>
                    <a:blip r:embed="rId11"/>
                    <a:stretch>
                      <a:fillRect/>
                    </a:stretch>
                  </pic:blipFill>
                  <pic:spPr>
                    <a:xfrm>
                      <a:off x="0" y="0"/>
                      <a:ext cx="6061710" cy="25146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 w:hAnsi="仿宋" w:eastAsia="仿宋" w:cs="仿宋"/>
          <w:sz w:val="30"/>
          <w:szCs w:val="30"/>
          <w:lang w:val="en-US" w:eastAsia="zh-CN"/>
        </w:rPr>
      </w:pPr>
      <w:r>
        <w:rPr>
          <w:rFonts w:hint="default" w:ascii="仿宋" w:hAnsi="仿宋" w:eastAsia="仿宋" w:cs="仿宋"/>
          <w:sz w:val="30"/>
          <w:szCs w:val="30"/>
          <w:lang w:val="en-US" w:eastAsia="zh-CN"/>
        </w:rPr>
        <w:drawing>
          <wp:inline distT="0" distB="0" distL="114300" distR="114300">
            <wp:extent cx="6115685" cy="2432685"/>
            <wp:effectExtent l="0" t="0" r="18415" b="5715"/>
            <wp:docPr id="7" name="图片 7" descr="cfe8cf2c8225341f2d75ee10e9f4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fe8cf2c8225341f2d75ee10e9f4b9c"/>
                    <pic:cNvPicPr>
                      <a:picLocks noChangeAspect="1"/>
                    </pic:cNvPicPr>
                  </pic:nvPicPr>
                  <pic:blipFill>
                    <a:blip r:embed="rId12"/>
                    <a:stretch>
                      <a:fillRect/>
                    </a:stretch>
                  </pic:blipFill>
                  <pic:spPr>
                    <a:xfrm>
                      <a:off x="0" y="0"/>
                      <a:ext cx="6115685" cy="2432685"/>
                    </a:xfrm>
                    <a:prstGeom prst="rect">
                      <a:avLst/>
                    </a:prstGeom>
                  </pic:spPr>
                </pic:pic>
              </a:graphicData>
            </a:graphic>
          </wp:inline>
        </w:drawing>
      </w:r>
    </w:p>
    <w:p>
      <w:pPr>
        <w:spacing w:line="221" w:lineRule="auto"/>
        <w:jc w:val="center"/>
        <w:rPr>
          <w:rFonts w:hint="default"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图2 校园文化满意度</w:t>
      </w:r>
    </w:p>
    <w:p>
      <w:pPr>
        <w:pStyle w:val="5"/>
        <w:bidi w:val="0"/>
        <w:rPr>
          <w:rFonts w:hint="default" w:ascii="仿宋" w:hAnsi="仿宋" w:eastAsia="仿宋" w:cs="仿宋"/>
          <w:sz w:val="30"/>
          <w:szCs w:val="30"/>
          <w:lang w:val="en-US" w:eastAsia="zh-CN"/>
        </w:rPr>
      </w:pPr>
      <w:bookmarkStart w:id="15" w:name="_Toc9835"/>
      <w:r>
        <w:rPr>
          <w:rFonts w:hint="eastAsia" w:ascii="仿宋_GB2312" w:hAnsi="仿宋_GB2312" w:eastAsia="仿宋_GB2312" w:cs="仿宋_GB2312"/>
          <w:b/>
          <w:bCs/>
          <w:color w:val="0C0C0C"/>
          <w:kern w:val="0"/>
          <w:sz w:val="32"/>
          <w:szCs w:val="32"/>
          <w:lang w:val="en-US" w:eastAsia="zh-CN" w:bidi="ar-SA"/>
        </w:rPr>
        <w:t>2.3.3社团活动开展情况</w:t>
      </w:r>
      <w:bookmarkEnd w:id="15"/>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以教学团学一体化建设、思想政治教育项目化建设为载体，凝练优势，创新成果，积极思考和探索学生工作的新思路和新方法，发挥党员的先进性，以党建带团建，努力改善学风，培养品德好，专业知识扎实，应用能力强，综合素质全面的应用型人才。校团委加强社团过程管理：为确保社团活动的正常开展，我们逐生规范社团的管理。本学期开设的社团涉及文化艺术类、体育休闲类、技能实践类、公益服务类等4个类别，共17个社团。每个学生都可以根据自己的特长、兴趣，自主选择心仪的社团。在日常的社团教学管理中我们坚持实行备课审核制和行政巡课制，努力提高每一节社团课的效率。</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校团委在团市委的亲切关怀和校党委的正确领导下，充分发挥共青团先锋队和主力军作用，积极完成上级下达的各项任务和指标，本着“开拓、进取、务实、 创新” 的原则，进一步完善了团委的组织建设和制度建设，不断地举行各项具有教育意义、形式新颖的活动，丰富了全校师生的课外生活。党旗所指就是团旗所向，校团委将发挥桥梁纽带作用，时时刻刻关心青年，培养青年，服务青年，引导青年学生成长为社会主义建设者和接班人。践行“立德树人”的初心使命，为青年学生成长成才铺路架桥，为学校的教育教学营造良好的育人环境。</w:t>
      </w:r>
    </w:p>
    <w:p>
      <w:pPr>
        <w:pStyle w:val="2"/>
        <w:rPr>
          <w:rFonts w:hint="eastAsia" w:ascii="仿宋_GB2312" w:hAnsi="仿宋_GB2312" w:eastAsia="仿宋_GB2312" w:cs="仿宋_GB2312"/>
          <w:color w:val="0C0C0C"/>
          <w:kern w:val="0"/>
          <w:sz w:val="32"/>
          <w:szCs w:val="32"/>
          <w:lang w:val="en-US" w:eastAsia="zh-CN" w:bidi="ar-SA"/>
        </w:rPr>
      </w:pPr>
    </w:p>
    <w:p>
      <w:pPr>
        <w:rPr>
          <w:rFonts w:hint="eastAsia"/>
          <w:lang w:val="en-US" w:eastAsia="zh-CN"/>
        </w:rPr>
      </w:pPr>
    </w:p>
    <w:p>
      <w:pPr>
        <w:spacing w:line="221" w:lineRule="auto"/>
        <w:jc w:val="center"/>
        <w:rPr>
          <w:rFonts w:hint="default"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表1 2022年社团工作一览表</w:t>
      </w:r>
    </w:p>
    <w:tbl>
      <w:tblPr>
        <w:tblStyle w:val="15"/>
        <w:tblpPr w:leftFromText="180" w:rightFromText="180" w:vertAnchor="text" w:horzAnchor="page" w:tblpX="2460" w:tblpY="371"/>
        <w:tblOverlap w:val="never"/>
        <w:tblW w:w="739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47"/>
        <w:gridCol w:w="2529"/>
        <w:gridCol w:w="2602"/>
        <w:gridCol w:w="13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20" w:hRule="atLeast"/>
        </w:trPr>
        <w:tc>
          <w:tcPr>
            <w:tcW w:w="947"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2529"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社团名称</w:t>
            </w:r>
          </w:p>
        </w:tc>
        <w:tc>
          <w:tcPr>
            <w:tcW w:w="2602"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指导老师</w:t>
            </w:r>
          </w:p>
        </w:tc>
        <w:tc>
          <w:tcPr>
            <w:tcW w:w="1318"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成员人数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印象舞苑舞蹈社团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谢思思</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94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5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行舞者舞蹈社团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罗玲</w:t>
            </w:r>
          </w:p>
        </w:tc>
        <w:tc>
          <w:tcPr>
            <w:tcW w:w="13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声入人心社团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黄婕</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篮球训练队</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洪军明</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飞火流星足球社</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汪林</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墨香丹青书画社</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刘璐璐</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星烁女子合唱团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徐子雄</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心声流行乐团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朱光贤、熊毅</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19"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女子动感篮球社团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汪林</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礼仪之邦社团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付恬</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红色舞台社团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陈慧</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茗人居（茶艺社团）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王鲁萍</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85"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璀璨筝艺</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付恬、郑璨</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不二街舞社团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巫頔</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“羽你同行”羽毛球社</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黄乐</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古典舞社团</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蒋丽丽</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吉他社</w:t>
            </w:r>
          </w:p>
        </w:tc>
        <w:tc>
          <w:tcPr>
            <w:tcW w:w="26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朱光贤、范恬</w:t>
            </w:r>
          </w:p>
        </w:tc>
        <w:tc>
          <w:tcPr>
            <w:tcW w:w="13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r>
    </w:tbl>
    <w:p>
      <w:pPr>
        <w:rPr>
          <w:rFonts w:hint="eastAsia"/>
        </w:rPr>
      </w:pPr>
    </w:p>
    <w:p>
      <w:pPr>
        <w:ind w:firstLine="420" w:firstLineChars="200"/>
        <w:rPr>
          <w:rFonts w:hint="eastAsia"/>
        </w:rPr>
      </w:pPr>
    </w:p>
    <w:p>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1656080" cy="2387600"/>
            <wp:effectExtent l="0" t="0" r="12700" b="1270"/>
            <wp:docPr id="42" name="图片 42" descr="1afe14792cd896a3033161d614f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afe14792cd896a3033161d614f2444"/>
                    <pic:cNvPicPr>
                      <a:picLocks noChangeAspect="1"/>
                    </pic:cNvPicPr>
                  </pic:nvPicPr>
                  <pic:blipFill>
                    <a:blip r:embed="rId13"/>
                    <a:stretch>
                      <a:fillRect/>
                    </a:stretch>
                  </pic:blipFill>
                  <pic:spPr>
                    <a:xfrm rot="16200000">
                      <a:off x="0" y="0"/>
                      <a:ext cx="1656080" cy="2387600"/>
                    </a:xfrm>
                    <a:prstGeom prst="rect">
                      <a:avLst/>
                    </a:prstGeom>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490470" cy="1617345"/>
            <wp:effectExtent l="0" t="0" r="5080" b="1905"/>
            <wp:docPr id="43" name="图片 43" descr="56e7618870fb33a1b43fbae52ee2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6e7618870fb33a1b43fbae52ee27d9"/>
                    <pic:cNvPicPr>
                      <a:picLocks noChangeAspect="1"/>
                    </pic:cNvPicPr>
                  </pic:nvPicPr>
                  <pic:blipFill>
                    <a:blip r:embed="rId14"/>
                    <a:stretch>
                      <a:fillRect/>
                    </a:stretch>
                  </pic:blipFill>
                  <pic:spPr>
                    <a:xfrm>
                      <a:off x="0" y="0"/>
                      <a:ext cx="2490470" cy="1617345"/>
                    </a:xfrm>
                    <a:prstGeom prst="rect">
                      <a:avLst/>
                    </a:prstGeom>
                  </pic:spPr>
                </pic:pic>
              </a:graphicData>
            </a:graphic>
          </wp:inline>
        </w:drawing>
      </w:r>
    </w:p>
    <w:p>
      <w:pPr>
        <w:ind w:firstLine="420" w:firstLineChars="200"/>
        <w:rPr>
          <w:rFonts w:hint="eastAsia"/>
          <w:lang w:val="en-US" w:eastAsia="zh-CN"/>
        </w:rPr>
      </w:pPr>
      <w:r>
        <w:rPr>
          <w:rFonts w:hint="eastAsia"/>
          <w:lang w:val="en-US" w:eastAsia="zh-CN"/>
        </w:rPr>
        <w:t xml:space="preserve">荣获五四红旗团（总）支部称号             荣获体育道德风尚奖称号 </w:t>
      </w:r>
    </w:p>
    <w:p>
      <w:pPr>
        <w:ind w:firstLine="420" w:firstLineChars="200"/>
        <w:rPr>
          <w:rFonts w:hint="default"/>
          <w:lang w:val="en-US" w:eastAsia="zh-CN"/>
        </w:rPr>
      </w:pPr>
    </w:p>
    <w:p>
      <w:pPr>
        <w:rPr>
          <w:rFonts w:hint="default"/>
          <w:lang w:val="en-US" w:eastAsia="zh-CN"/>
        </w:rPr>
      </w:pPr>
    </w:p>
    <w:p>
      <w:pPr>
        <w:rPr>
          <w:rFonts w:hint="eastAsia"/>
          <w:lang w:val="en-US" w:eastAsia="zh-CN"/>
        </w:rPr>
      </w:pPr>
      <w:r>
        <w:rPr>
          <w:rFonts w:hint="default"/>
          <w:lang w:val="en-US" w:eastAsia="zh-CN"/>
        </w:rPr>
        <w:drawing>
          <wp:inline distT="0" distB="0" distL="114300" distR="114300">
            <wp:extent cx="2494280" cy="1685290"/>
            <wp:effectExtent l="0" t="0" r="1270" b="10160"/>
            <wp:docPr id="44" name="图片 44" descr="660262462bda61c7b395021ed32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60262462bda61c7b395021ed324823"/>
                    <pic:cNvPicPr>
                      <a:picLocks noChangeAspect="1"/>
                    </pic:cNvPicPr>
                  </pic:nvPicPr>
                  <pic:blipFill>
                    <a:blip r:embed="rId15"/>
                    <a:srcRect t="9912"/>
                    <a:stretch>
                      <a:fillRect/>
                    </a:stretch>
                  </pic:blipFill>
                  <pic:spPr>
                    <a:xfrm>
                      <a:off x="0" y="0"/>
                      <a:ext cx="2494280" cy="1685290"/>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550795" cy="1678940"/>
            <wp:effectExtent l="0" t="0" r="1905" b="16510"/>
            <wp:docPr id="45" name="图片 45" descr="30ffe8f79c3d1d33b14d931b99e4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0ffe8f79c3d1d33b14d931b99e4d02"/>
                    <pic:cNvPicPr>
                      <a:picLocks noChangeAspect="1"/>
                    </pic:cNvPicPr>
                  </pic:nvPicPr>
                  <pic:blipFill>
                    <a:blip r:embed="rId16"/>
                    <a:srcRect t="34193"/>
                    <a:stretch>
                      <a:fillRect/>
                    </a:stretch>
                  </pic:blipFill>
                  <pic:spPr>
                    <a:xfrm>
                      <a:off x="0" y="0"/>
                      <a:ext cx="2550795" cy="1678940"/>
                    </a:xfrm>
                    <a:prstGeom prst="rect">
                      <a:avLst/>
                    </a:prstGeom>
                  </pic:spPr>
                </pic:pic>
              </a:graphicData>
            </a:graphic>
          </wp:inline>
        </w:drawing>
      </w:r>
      <w:r>
        <w:rPr>
          <w:rFonts w:hint="eastAsia"/>
          <w:lang w:val="en-US" w:eastAsia="zh-CN"/>
        </w:rPr>
        <w:t xml:space="preserve">  </w:t>
      </w:r>
    </w:p>
    <w:p>
      <w:pPr>
        <w:jc w:val="center"/>
        <w:rPr>
          <w:rFonts w:hint="eastAsia"/>
          <w:lang w:val="en-US" w:eastAsia="zh-CN"/>
        </w:rPr>
      </w:pPr>
      <w:r>
        <w:rPr>
          <w:rFonts w:hint="eastAsia"/>
          <w:lang w:val="en-US" w:eastAsia="zh-CN"/>
        </w:rPr>
        <w:t>团建活动</w:t>
      </w:r>
    </w:p>
    <w:p>
      <w:pPr>
        <w:jc w:val="both"/>
        <w:rPr>
          <w:rFonts w:hint="eastAsia"/>
          <w:lang w:val="en-US" w:eastAsia="zh-CN"/>
        </w:rPr>
      </w:pPr>
      <w:r>
        <w:rPr>
          <w:rFonts w:hint="default"/>
          <w:lang w:val="en-US" w:eastAsia="zh-CN"/>
        </w:rPr>
        <w:drawing>
          <wp:inline distT="0" distB="0" distL="114300" distR="114300">
            <wp:extent cx="2585085" cy="1602740"/>
            <wp:effectExtent l="0" t="0" r="5715" b="16510"/>
            <wp:docPr id="46" name="图片 46" descr="45a57326b47c2f4e87e3b79c353d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5a57326b47c2f4e87e3b79c353d695"/>
                    <pic:cNvPicPr>
                      <a:picLocks noChangeAspect="1"/>
                    </pic:cNvPicPr>
                  </pic:nvPicPr>
                  <pic:blipFill>
                    <a:blip r:embed="rId17"/>
                    <a:stretch>
                      <a:fillRect/>
                    </a:stretch>
                  </pic:blipFill>
                  <pic:spPr>
                    <a:xfrm>
                      <a:off x="0" y="0"/>
                      <a:ext cx="2585085" cy="1602740"/>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572385" cy="1592580"/>
            <wp:effectExtent l="0" t="0" r="18415" b="7620"/>
            <wp:docPr id="47" name="图片 47" descr="c5a7ba1c8b97356b432a119d53e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5a7ba1c8b97356b432a119d53e8303"/>
                    <pic:cNvPicPr>
                      <a:picLocks noChangeAspect="1"/>
                    </pic:cNvPicPr>
                  </pic:nvPicPr>
                  <pic:blipFill>
                    <a:blip r:embed="rId18"/>
                    <a:stretch>
                      <a:fillRect/>
                    </a:stretch>
                  </pic:blipFill>
                  <pic:spPr>
                    <a:xfrm>
                      <a:off x="0" y="0"/>
                      <a:ext cx="2572385" cy="1592580"/>
                    </a:xfrm>
                    <a:prstGeom prst="rect">
                      <a:avLst/>
                    </a:prstGeom>
                  </pic:spPr>
                </pic:pic>
              </a:graphicData>
            </a:graphic>
          </wp:inline>
        </w:drawing>
      </w:r>
      <w:r>
        <w:rPr>
          <w:rFonts w:hint="eastAsia"/>
          <w:lang w:val="en-US" w:eastAsia="zh-CN"/>
        </w:rPr>
        <w:t xml:space="preserve"> </w:t>
      </w:r>
    </w:p>
    <w:p>
      <w:pPr>
        <w:jc w:val="center"/>
        <w:rPr>
          <w:rFonts w:hint="eastAsia"/>
          <w:lang w:val="en-US" w:eastAsia="zh-CN"/>
        </w:rPr>
      </w:pPr>
      <w:r>
        <w:rPr>
          <w:rFonts w:hint="eastAsia"/>
          <w:lang w:val="en-US" w:eastAsia="zh-CN"/>
        </w:rPr>
        <w:t>社团活动</w:t>
      </w:r>
    </w:p>
    <w:p>
      <w:pPr>
        <w:jc w:val="both"/>
        <w:rPr>
          <w:rFonts w:hint="default"/>
          <w:lang w:val="en-US" w:eastAsia="zh-CN"/>
        </w:rPr>
      </w:pPr>
    </w:p>
    <w:p>
      <w:pPr>
        <w:jc w:val="both"/>
        <w:rPr>
          <w:rFonts w:hint="default"/>
          <w:lang w:val="en-US" w:eastAsia="zh-CN"/>
        </w:rPr>
      </w:pPr>
    </w:p>
    <w:p>
      <w:pPr>
        <w:jc w:val="both"/>
        <w:rPr>
          <w:rFonts w:hint="default"/>
          <w:lang w:val="en-US" w:eastAsia="zh-CN"/>
        </w:rPr>
      </w:pPr>
      <w:r>
        <w:rPr>
          <w:rFonts w:hint="default"/>
          <w:lang w:val="en-US" w:eastAsia="zh-CN"/>
        </w:rPr>
        <w:drawing>
          <wp:inline distT="0" distB="0" distL="114300" distR="114300">
            <wp:extent cx="2508250" cy="1249680"/>
            <wp:effectExtent l="0" t="0" r="6350" b="7620"/>
            <wp:docPr id="48" name="图片 48" descr="2ed4b82aaac93d2daf6150dfdca5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ed4b82aaac93d2daf6150dfdca5c92"/>
                    <pic:cNvPicPr>
                      <a:picLocks noChangeAspect="1"/>
                    </pic:cNvPicPr>
                  </pic:nvPicPr>
                  <pic:blipFill>
                    <a:blip r:embed="rId19"/>
                    <a:srcRect t="33551"/>
                    <a:stretch>
                      <a:fillRect/>
                    </a:stretch>
                  </pic:blipFill>
                  <pic:spPr>
                    <a:xfrm>
                      <a:off x="0" y="0"/>
                      <a:ext cx="2508250" cy="1249680"/>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475230" cy="1245235"/>
            <wp:effectExtent l="0" t="0" r="1270" b="12065"/>
            <wp:docPr id="49" name="图片 49" descr="2a89f38fbbc99dc07306fc4f647e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a89f38fbbc99dc07306fc4f647e726"/>
                    <pic:cNvPicPr>
                      <a:picLocks noChangeAspect="1"/>
                    </pic:cNvPicPr>
                  </pic:nvPicPr>
                  <pic:blipFill>
                    <a:blip r:embed="rId20"/>
                    <a:srcRect t="32925"/>
                    <a:stretch>
                      <a:fillRect/>
                    </a:stretch>
                  </pic:blipFill>
                  <pic:spPr>
                    <a:xfrm>
                      <a:off x="0" y="0"/>
                      <a:ext cx="2475230" cy="1245235"/>
                    </a:xfrm>
                    <a:prstGeom prst="rect">
                      <a:avLst/>
                    </a:prstGeom>
                  </pic:spPr>
                </pic:pic>
              </a:graphicData>
            </a:graphic>
          </wp:inline>
        </w:drawing>
      </w:r>
    </w:p>
    <w:p>
      <w:pPr>
        <w:jc w:val="center"/>
        <w:rPr>
          <w:rFonts w:hint="default"/>
          <w:lang w:val="en-US" w:eastAsia="zh-CN"/>
        </w:rPr>
      </w:pPr>
      <w:r>
        <w:rPr>
          <w:rFonts w:hint="eastAsia"/>
          <w:lang w:val="en-US" w:eastAsia="zh-CN"/>
        </w:rPr>
        <w:t>志愿者活动</w:t>
      </w:r>
    </w:p>
    <w:p>
      <w:pPr>
        <w:rPr>
          <w:rFonts w:hint="eastAsia"/>
          <w:lang w:val="en-US" w:eastAsia="zh-CN"/>
        </w:rPr>
      </w:pP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16" w:name="_Toc31318"/>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2.4就业质量</w:t>
      </w:r>
      <w:bookmarkEnd w:id="16"/>
    </w:p>
    <w:p>
      <w:pPr>
        <w:pStyle w:val="5"/>
        <w:bidi w:val="0"/>
        <w:rPr>
          <w:rFonts w:hint="eastAsia" w:ascii="仿宋_GB2312" w:hAnsi="仿宋_GB2312" w:eastAsia="仿宋_GB2312" w:cs="仿宋_GB2312"/>
          <w:b/>
          <w:bCs/>
          <w:color w:val="0C0C0C"/>
          <w:kern w:val="0"/>
          <w:sz w:val="32"/>
          <w:szCs w:val="32"/>
          <w:lang w:val="en-US" w:eastAsia="zh-CN" w:bidi="ar-SA"/>
        </w:rPr>
      </w:pPr>
      <w:bookmarkStart w:id="17" w:name="_Toc14127"/>
      <w:r>
        <w:rPr>
          <w:rFonts w:hint="eastAsia" w:ascii="仿宋_GB2312" w:hAnsi="仿宋_GB2312" w:eastAsia="仿宋_GB2312" w:cs="仿宋_GB2312"/>
          <w:b/>
          <w:bCs/>
          <w:color w:val="0C0C0C"/>
          <w:kern w:val="0"/>
          <w:sz w:val="32"/>
          <w:szCs w:val="32"/>
          <w:lang w:val="en-US" w:eastAsia="zh-CN" w:bidi="ar-SA"/>
        </w:rPr>
        <w:t>2.4.1 毕业生人数及生源结构</w:t>
      </w:r>
      <w:bookmarkEnd w:id="17"/>
      <w:r>
        <w:rPr>
          <w:rFonts w:hint="eastAsia" w:ascii="仿宋_GB2312" w:hAnsi="仿宋_GB2312" w:eastAsia="仿宋_GB2312" w:cs="仿宋_GB2312"/>
          <w:b/>
          <w:bCs/>
          <w:color w:val="0C0C0C"/>
          <w:kern w:val="0"/>
          <w:sz w:val="32"/>
          <w:szCs w:val="32"/>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202</w:t>
      </w:r>
      <w:r>
        <w:rPr>
          <w:rFonts w:hint="default" w:ascii="仿宋_GB2312" w:hAnsi="仿宋_GB2312" w:eastAsia="仿宋_GB2312" w:cs="仿宋_GB2312"/>
          <w:color w:val="0C0C0C"/>
          <w:kern w:val="0"/>
          <w:sz w:val="32"/>
          <w:szCs w:val="32"/>
          <w:lang w:val="en-US" w:eastAsia="zh-CN" w:bidi="ar-SA"/>
        </w:rPr>
        <w:t>1</w:t>
      </w:r>
      <w:r>
        <w:rPr>
          <w:rFonts w:hint="eastAsia" w:ascii="仿宋_GB2312" w:hAnsi="仿宋_GB2312" w:eastAsia="仿宋_GB2312" w:cs="仿宋_GB2312"/>
          <w:color w:val="0C0C0C"/>
          <w:kern w:val="0"/>
          <w:sz w:val="32"/>
          <w:szCs w:val="32"/>
          <w:lang w:val="en-US" w:eastAsia="zh-CN" w:bidi="ar-SA"/>
        </w:rPr>
        <w:t>-202</w:t>
      </w:r>
      <w:r>
        <w:rPr>
          <w:rFonts w:hint="default" w:ascii="仿宋_GB2312" w:hAnsi="仿宋_GB2312" w:eastAsia="仿宋_GB2312" w:cs="仿宋_GB2312"/>
          <w:color w:val="0C0C0C"/>
          <w:kern w:val="0"/>
          <w:sz w:val="32"/>
          <w:szCs w:val="32"/>
          <w:lang w:val="en-US" w:eastAsia="zh-CN" w:bidi="ar-SA"/>
        </w:rPr>
        <w:t>2</w:t>
      </w:r>
      <w:r>
        <w:rPr>
          <w:rFonts w:hint="eastAsia" w:ascii="仿宋_GB2312" w:hAnsi="仿宋_GB2312" w:eastAsia="仿宋_GB2312" w:cs="仿宋_GB2312"/>
          <w:color w:val="0C0C0C"/>
          <w:kern w:val="0"/>
          <w:sz w:val="32"/>
          <w:szCs w:val="32"/>
          <w:lang w:val="en-US" w:eastAsia="zh-CN" w:bidi="ar-SA"/>
        </w:rPr>
        <w:t xml:space="preserve"> 学年我校毕业生 1487 人，从生源地来看，省内是主要来源地区，毕业生生源结构如下图</w:t>
      </w:r>
    </w:p>
    <w:p>
      <w:pPr>
        <w:pStyle w:val="2"/>
        <w:rPr>
          <w:rFonts w:hint="eastAsia" w:ascii="仿宋_GB2312" w:hAnsi="仿宋_GB2312" w:eastAsia="仿宋_GB2312" w:cs="仿宋_GB2312"/>
          <w:color w:val="0C0C0C"/>
          <w:kern w:val="0"/>
          <w:sz w:val="32"/>
          <w:szCs w:val="32"/>
          <w:lang w:val="en-US" w:eastAsia="zh-CN" w:bidi="ar-SA"/>
        </w:rPr>
      </w:pPr>
    </w:p>
    <w:p>
      <w:pPr>
        <w:rPr>
          <w:rFonts w:hint="eastAsia"/>
          <w:lang w:eastAsia="zh-CN"/>
        </w:rPr>
      </w:pPr>
    </w:p>
    <w:p>
      <w:pPr>
        <w:spacing w:line="221" w:lineRule="auto"/>
        <w:jc w:val="center"/>
        <w:rPr>
          <w:rFonts w:hint="default"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图3毕业生分布图</w:t>
      </w:r>
    </w:p>
    <w:p>
      <w:pPr>
        <w:spacing w:line="360" w:lineRule="auto"/>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080000" cy="2372995"/>
            <wp:effectExtent l="4445" t="4445" r="20955" b="22860"/>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pStyle w:val="5"/>
        <w:bidi w:val="0"/>
        <w:rPr>
          <w:rFonts w:hint="eastAsia" w:ascii="仿宋_GB2312" w:hAnsi="仿宋_GB2312" w:eastAsia="仿宋_GB2312" w:cs="仿宋_GB2312"/>
          <w:b/>
          <w:bCs/>
          <w:color w:val="0C0C0C"/>
          <w:kern w:val="0"/>
          <w:sz w:val="32"/>
          <w:szCs w:val="32"/>
          <w:lang w:val="en-US" w:eastAsia="zh-CN" w:bidi="ar-SA"/>
        </w:rPr>
      </w:pPr>
      <w:bookmarkStart w:id="18" w:name="_Toc16715"/>
      <w:r>
        <w:rPr>
          <w:rFonts w:hint="eastAsia" w:ascii="仿宋_GB2312" w:hAnsi="仿宋_GB2312" w:eastAsia="仿宋_GB2312" w:cs="仿宋_GB2312"/>
          <w:b/>
          <w:bCs/>
          <w:color w:val="0C0C0C"/>
          <w:kern w:val="0"/>
          <w:sz w:val="32"/>
          <w:szCs w:val="32"/>
          <w:lang w:val="en-US" w:eastAsia="zh-CN" w:bidi="ar-SA"/>
        </w:rPr>
        <w:t>2.4.2 就业情况</w:t>
      </w:r>
      <w:bookmarkEnd w:id="18"/>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color w:val="0C0C0C"/>
          <w:kern w:val="0"/>
          <w:sz w:val="32"/>
          <w:szCs w:val="32"/>
          <w:lang w:val="en-US" w:eastAsia="zh-Hans" w:bidi="ar-SA"/>
        </w:rPr>
      </w:pPr>
      <w:r>
        <w:rPr>
          <w:rFonts w:hint="eastAsia" w:ascii="仿宋_GB2312" w:hAnsi="仿宋_GB2312" w:eastAsia="仿宋_GB2312" w:cs="仿宋_GB2312"/>
          <w:color w:val="0C0C0C"/>
          <w:kern w:val="0"/>
          <w:sz w:val="32"/>
          <w:szCs w:val="32"/>
          <w:lang w:val="en-US" w:eastAsia="zh-CN" w:bidi="ar-SA"/>
        </w:rPr>
        <w:t>2021-2022 学年，学校就业率整体</w:t>
      </w:r>
      <w:r>
        <w:rPr>
          <w:rFonts w:hint="eastAsia" w:ascii="仿宋_GB2312" w:hAnsi="仿宋_GB2312" w:eastAsia="仿宋_GB2312" w:cs="仿宋_GB2312"/>
          <w:color w:val="0C0C0C"/>
          <w:kern w:val="0"/>
          <w:sz w:val="32"/>
          <w:szCs w:val="32"/>
          <w:lang w:val="en-US" w:eastAsia="zh-Hans" w:bidi="ar-SA"/>
        </w:rPr>
        <w:t>情况</w:t>
      </w:r>
      <w:r>
        <w:rPr>
          <w:rFonts w:hint="eastAsia" w:ascii="仿宋_GB2312" w:hAnsi="仿宋_GB2312" w:eastAsia="仿宋_GB2312" w:cs="仿宋_GB2312"/>
          <w:color w:val="0C0C0C"/>
          <w:kern w:val="0"/>
          <w:sz w:val="32"/>
          <w:szCs w:val="32"/>
          <w:lang w:val="en-US" w:eastAsia="zh-CN" w:bidi="ar-SA"/>
        </w:rPr>
        <w:t>较</w:t>
      </w:r>
      <w:r>
        <w:rPr>
          <w:rFonts w:hint="eastAsia" w:ascii="仿宋_GB2312" w:hAnsi="仿宋_GB2312" w:eastAsia="仿宋_GB2312" w:cs="仿宋_GB2312"/>
          <w:color w:val="0C0C0C"/>
          <w:kern w:val="0"/>
          <w:sz w:val="32"/>
          <w:szCs w:val="32"/>
          <w:lang w:val="en-US" w:eastAsia="zh-Hans" w:bidi="ar-SA"/>
        </w:rPr>
        <w:t>好</w:t>
      </w:r>
      <w:r>
        <w:rPr>
          <w:rFonts w:hint="eastAsia" w:ascii="仿宋_GB2312" w:hAnsi="仿宋_GB2312" w:eastAsia="仿宋_GB2312" w:cs="仿宋_GB2312"/>
          <w:color w:val="0C0C0C"/>
          <w:kern w:val="0"/>
          <w:sz w:val="32"/>
          <w:szCs w:val="32"/>
          <w:lang w:val="en-US" w:eastAsia="zh-CN" w:bidi="ar-SA"/>
        </w:rPr>
        <w:t>，具体就业率如</w:t>
      </w:r>
      <w:r>
        <w:rPr>
          <w:rFonts w:hint="eastAsia" w:ascii="仿宋_GB2312" w:hAnsi="仿宋_GB2312" w:eastAsia="仿宋_GB2312" w:cs="仿宋_GB2312"/>
          <w:color w:val="0C0C0C"/>
          <w:kern w:val="0"/>
          <w:sz w:val="32"/>
          <w:szCs w:val="32"/>
          <w:lang w:val="en-US" w:eastAsia="zh-Hans" w:bidi="ar-SA"/>
        </w:rPr>
        <w:t>下：</w:t>
      </w:r>
    </w:p>
    <w:p>
      <w:pPr>
        <w:spacing w:line="221" w:lineRule="auto"/>
        <w:jc w:val="center"/>
        <w:rPr>
          <w:rFonts w:hint="default"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图4就业率</w:t>
      </w:r>
    </w:p>
    <w:p>
      <w:pPr>
        <w:keepNext w:val="0"/>
        <w:keepLines w:val="0"/>
        <w:widowControl/>
        <w:suppressLineNumbers w:val="0"/>
        <w:spacing w:line="360" w:lineRule="auto"/>
        <w:jc w:val="left"/>
        <w:rPr>
          <w:rFonts w:hint="eastAsia" w:ascii="仿宋" w:hAnsi="仿宋" w:eastAsia="仿宋" w:cs="仿宋"/>
          <w:color w:val="000000"/>
          <w:kern w:val="0"/>
          <w:sz w:val="32"/>
          <w:szCs w:val="32"/>
          <w:lang w:eastAsia="zh-Hans" w:bidi="ar"/>
        </w:rPr>
      </w:pPr>
      <w:r>
        <w:rPr>
          <w:rFonts w:hint="eastAsia" w:ascii="仿宋" w:hAnsi="仿宋" w:eastAsia="仿宋" w:cs="仿宋"/>
          <w:color w:val="000000"/>
          <w:kern w:val="0"/>
          <w:sz w:val="32"/>
          <w:szCs w:val="32"/>
          <w:lang w:eastAsia="zh-Hans" w:bidi="ar"/>
        </w:rPr>
        <w:drawing>
          <wp:inline distT="0" distB="0" distL="114300" distR="114300">
            <wp:extent cx="5203190" cy="2058035"/>
            <wp:effectExtent l="4445" t="4445" r="12065" b="1397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280" w:beforeAutospacing="0" w:after="280" w:afterAutospacing="0" w:line="360" w:lineRule="auto"/>
        <w:ind w:left="280" w:right="280" w:firstLine="0"/>
        <w:jc w:val="center"/>
        <w:rPr>
          <w:rFonts w:hint="eastAsia" w:ascii="仿宋" w:hAnsi="仿宋" w:eastAsia="仿宋" w:cs="仿宋"/>
          <w:b w:val="0"/>
          <w:bCs w:val="0"/>
          <w:i w:val="0"/>
          <w:iCs w:val="0"/>
          <w:caps w:val="0"/>
          <w:color w:val="000000" w:themeColor="text1"/>
          <w:spacing w:val="0"/>
          <w:sz w:val="32"/>
          <w:szCs w:val="32"/>
          <w:u w:val="none"/>
          <w14:textFill>
            <w14:solidFill>
              <w14:schemeClr w14:val="tx1"/>
            </w14:solidFill>
          </w14:textFill>
        </w:rPr>
      </w:pPr>
      <w:r>
        <w:rPr>
          <w:rStyle w:val="18"/>
          <w:rFonts w:hint="eastAsia" w:ascii="仿宋" w:hAnsi="仿宋" w:eastAsia="仿宋" w:cs="仿宋"/>
          <w:b/>
          <w:bCs/>
          <w:i w:val="0"/>
          <w:iCs w:val="0"/>
          <w:caps w:val="0"/>
          <w:color w:val="000000" w:themeColor="text1"/>
          <w:spacing w:val="0"/>
          <w:sz w:val="32"/>
          <w:szCs w:val="32"/>
          <w:u w:val="none"/>
          <w14:textFill>
            <w14:solidFill>
              <w14:schemeClr w14:val="tx1"/>
            </w14:solidFill>
          </w14:textFill>
        </w:rPr>
        <w:t>领导重视，各部门协作，实施</w:t>
      </w:r>
      <w:r>
        <w:rPr>
          <w:rStyle w:val="18"/>
          <w:rFonts w:hint="eastAsia" w:ascii="仿宋" w:hAnsi="仿宋" w:eastAsia="仿宋" w:cs="仿宋"/>
          <w:b/>
          <w:bCs/>
          <w:i w:val="0"/>
          <w:iCs w:val="0"/>
          <w:caps w:val="0"/>
          <w:color w:val="000000" w:themeColor="text1"/>
          <w:spacing w:val="0"/>
          <w:sz w:val="32"/>
          <w:szCs w:val="32"/>
          <w:u w:val="none"/>
          <w:lang w:val="en-US" w:eastAsia="zh-Hans"/>
          <w14:textFill>
            <w14:solidFill>
              <w14:schemeClr w14:val="tx1"/>
            </w14:solidFill>
          </w14:textFill>
        </w:rPr>
        <w:t>全校</w:t>
      </w:r>
      <w:r>
        <w:rPr>
          <w:rStyle w:val="18"/>
          <w:rFonts w:hint="eastAsia" w:ascii="仿宋" w:hAnsi="仿宋" w:eastAsia="仿宋" w:cs="仿宋"/>
          <w:b/>
          <w:bCs/>
          <w:i w:val="0"/>
          <w:iCs w:val="0"/>
          <w:caps w:val="0"/>
          <w:color w:val="000000" w:themeColor="text1"/>
          <w:spacing w:val="0"/>
          <w:sz w:val="32"/>
          <w:szCs w:val="32"/>
          <w:u w:val="none"/>
          <w14:textFill>
            <w14:solidFill>
              <w14:schemeClr w14:val="tx1"/>
            </w14:solidFill>
          </w14:textFill>
        </w:rPr>
        <w:t>全员参与</w:t>
      </w:r>
    </w:p>
    <w:p>
      <w:pPr>
        <w:keepNext w:val="0"/>
        <w:keepLines w:val="0"/>
        <w:widowControl/>
        <w:suppressLineNumbers w:val="0"/>
        <w:spacing w:line="360" w:lineRule="auto"/>
        <w:jc w:val="left"/>
        <w:rPr>
          <w:rFonts w:hint="eastAsia" w:ascii="仿宋_GB2312" w:hAnsi="仿宋_GB2312" w:eastAsia="仿宋_GB2312" w:cs="仿宋_GB2312"/>
          <w:color w:val="0C0C0C"/>
          <w:kern w:val="0"/>
          <w:sz w:val="32"/>
          <w:szCs w:val="32"/>
          <w:lang w:val="en-US" w:eastAsia="zh-CN" w:bidi="ar-SA"/>
        </w:rPr>
      </w:pPr>
      <w:r>
        <w:rPr>
          <w:rFonts w:hint="eastAsia" w:ascii="仿宋" w:hAnsi="仿宋" w:eastAsia="仿宋" w:cs="仿宋"/>
          <w:b w:val="0"/>
          <w:bCs w:val="0"/>
          <w:i w:val="0"/>
          <w:iCs w:val="0"/>
          <w:caps w:val="0"/>
          <w:color w:val="000000"/>
          <w:spacing w:val="0"/>
          <w:sz w:val="32"/>
          <w:szCs w:val="32"/>
          <w:u w:val="none"/>
        </w:rPr>
        <w:t>　　</w:t>
      </w:r>
      <w:r>
        <w:rPr>
          <w:rFonts w:hint="eastAsia" w:ascii="仿宋_GB2312" w:hAnsi="仿宋_GB2312" w:eastAsia="仿宋_GB2312" w:cs="仿宋_GB2312"/>
          <w:color w:val="0C0C0C"/>
          <w:kern w:val="0"/>
          <w:sz w:val="32"/>
          <w:szCs w:val="32"/>
          <w:lang w:val="en-US" w:eastAsia="zh-CN" w:bidi="ar-SA"/>
        </w:rPr>
        <w:t>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成立了由学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党委、分管</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领导、</w:t>
      </w:r>
      <w:r>
        <w:rPr>
          <w:rFonts w:hint="eastAsia" w:ascii="仿宋_GB2312" w:hAnsi="仿宋_GB2312" w:eastAsia="仿宋_GB2312" w:cs="仿宋_GB2312"/>
          <w:color w:val="0C0C0C"/>
          <w:kern w:val="0"/>
          <w:sz w:val="32"/>
          <w:szCs w:val="32"/>
          <w:lang w:val="en-US" w:eastAsia="zh-Hans" w:bidi="ar-SA"/>
        </w:rPr>
        <w:t>各中层</w:t>
      </w:r>
      <w:r>
        <w:rPr>
          <w:rFonts w:hint="eastAsia" w:ascii="仿宋_GB2312" w:hAnsi="仿宋_GB2312" w:eastAsia="仿宋_GB2312" w:cs="仿宋_GB2312"/>
          <w:color w:val="0C0C0C"/>
          <w:kern w:val="0"/>
          <w:sz w:val="32"/>
          <w:szCs w:val="32"/>
          <w:lang w:val="en-US" w:eastAsia="zh-CN" w:bidi="ar-SA"/>
        </w:rPr>
        <w:t>领导、毕业班班主任组成的毕业生就业创业工作小组。</w:t>
      </w:r>
      <w:r>
        <w:rPr>
          <w:rFonts w:hint="eastAsia" w:ascii="仿宋_GB2312" w:hAnsi="仿宋_GB2312" w:eastAsia="仿宋_GB2312" w:cs="仿宋_GB2312"/>
          <w:color w:val="0C0C0C"/>
          <w:kern w:val="0"/>
          <w:sz w:val="32"/>
          <w:szCs w:val="32"/>
          <w:lang w:val="en-US" w:eastAsia="zh-Hans" w:bidi="ar-SA"/>
        </w:rPr>
        <w:t>分管</w:t>
      </w:r>
      <w:r>
        <w:rPr>
          <w:rFonts w:hint="eastAsia" w:ascii="仿宋_GB2312" w:hAnsi="仿宋_GB2312" w:eastAsia="仿宋_GB2312" w:cs="仿宋_GB2312"/>
          <w:color w:val="0C0C0C"/>
          <w:kern w:val="0"/>
          <w:sz w:val="32"/>
          <w:szCs w:val="32"/>
          <w:lang w:val="en-US" w:eastAsia="zh-CN" w:bidi="ar-SA"/>
        </w:rPr>
        <w:t>领导</w:t>
      </w:r>
      <w:r>
        <w:rPr>
          <w:rFonts w:hint="eastAsia" w:ascii="仿宋_GB2312" w:hAnsi="仿宋_GB2312" w:eastAsia="仿宋_GB2312" w:cs="仿宋_GB2312"/>
          <w:color w:val="0C0C0C"/>
          <w:kern w:val="0"/>
          <w:sz w:val="32"/>
          <w:szCs w:val="32"/>
          <w:lang w:val="en-US" w:eastAsia="zh-Hans" w:bidi="ar-SA"/>
        </w:rPr>
        <w:t>指导</w:t>
      </w:r>
      <w:r>
        <w:rPr>
          <w:rFonts w:hint="eastAsia" w:ascii="仿宋_GB2312" w:hAnsi="仿宋_GB2312" w:eastAsia="仿宋_GB2312" w:cs="仿宋_GB2312"/>
          <w:color w:val="0C0C0C"/>
          <w:kern w:val="0"/>
          <w:sz w:val="32"/>
          <w:szCs w:val="32"/>
          <w:lang w:val="en-US" w:eastAsia="zh-CN" w:bidi="ar-SA"/>
        </w:rPr>
        <w:t>毕业班班级</w:t>
      </w:r>
      <w:r>
        <w:rPr>
          <w:rFonts w:hint="eastAsia" w:ascii="仿宋_GB2312" w:hAnsi="仿宋_GB2312" w:eastAsia="仿宋_GB2312" w:cs="仿宋_GB2312"/>
          <w:color w:val="0C0C0C"/>
          <w:kern w:val="0"/>
          <w:sz w:val="32"/>
          <w:szCs w:val="32"/>
          <w:lang w:val="en-US" w:eastAsia="zh-Hans" w:bidi="ar-SA"/>
        </w:rPr>
        <w:t>就业工作</w:t>
      </w:r>
      <w:r>
        <w:rPr>
          <w:rFonts w:hint="eastAsia" w:ascii="仿宋_GB2312" w:hAnsi="仿宋_GB2312" w:eastAsia="仿宋_GB2312" w:cs="仿宋_GB2312"/>
          <w:color w:val="0C0C0C"/>
          <w:kern w:val="0"/>
          <w:sz w:val="32"/>
          <w:szCs w:val="32"/>
          <w:lang w:val="en-US" w:eastAsia="zh-CN" w:bidi="ar-SA"/>
        </w:rPr>
        <w:t>。要求相关</w:t>
      </w:r>
      <w:r>
        <w:rPr>
          <w:rFonts w:hint="eastAsia" w:ascii="仿宋_GB2312" w:hAnsi="仿宋_GB2312" w:eastAsia="仿宋_GB2312" w:cs="仿宋_GB2312"/>
          <w:color w:val="0C0C0C"/>
          <w:kern w:val="0"/>
          <w:sz w:val="32"/>
          <w:szCs w:val="32"/>
          <w:lang w:val="en-US" w:eastAsia="zh-Hans" w:bidi="ar-SA"/>
        </w:rPr>
        <w:t>班主任</w:t>
      </w:r>
      <w:r>
        <w:rPr>
          <w:rFonts w:hint="eastAsia" w:ascii="仿宋_GB2312" w:hAnsi="仿宋_GB2312" w:eastAsia="仿宋_GB2312" w:cs="仿宋_GB2312"/>
          <w:color w:val="0C0C0C"/>
          <w:kern w:val="0"/>
          <w:sz w:val="32"/>
          <w:szCs w:val="32"/>
          <w:lang w:val="en-US" w:eastAsia="zh-CN" w:bidi="ar-SA"/>
        </w:rPr>
        <w:t>指导同时协助指导学生就业，特别是很多与企业之间有横向合作的老师，主动向合作企业推荐学生，努力形成全</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教职工关心就业、支持就业、参与就业、推动就业的</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内就业工作“全员化”格局。</w:t>
      </w:r>
      <w:r>
        <w:rPr>
          <w:rFonts w:hint="eastAsia" w:ascii="仿宋_GB2312" w:hAnsi="仿宋_GB2312" w:eastAsia="仿宋_GB2312" w:cs="仿宋_GB2312"/>
          <w:color w:val="0C0C0C"/>
          <w:kern w:val="0"/>
          <w:sz w:val="32"/>
          <w:szCs w:val="32"/>
          <w:lang w:val="en-US" w:eastAsia="zh-Hans" w:bidi="ar-SA"/>
        </w:rPr>
        <w:t>今年五</w:t>
      </w:r>
      <w:r>
        <w:rPr>
          <w:rFonts w:hint="eastAsia" w:ascii="仿宋_GB2312" w:hAnsi="仿宋_GB2312" w:eastAsia="仿宋_GB2312" w:cs="仿宋_GB2312"/>
          <w:color w:val="0C0C0C"/>
          <w:kern w:val="0"/>
          <w:sz w:val="32"/>
          <w:szCs w:val="32"/>
          <w:lang w:val="en-US" w:eastAsia="zh-CN" w:bidi="ar-SA"/>
        </w:rPr>
        <w:t>月起，负责学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就业工作的老师赴</w:t>
      </w:r>
      <w:r>
        <w:rPr>
          <w:rFonts w:hint="eastAsia" w:ascii="仿宋_GB2312" w:hAnsi="仿宋_GB2312" w:eastAsia="仿宋_GB2312" w:cs="仿宋_GB2312"/>
          <w:color w:val="0C0C0C"/>
          <w:kern w:val="0"/>
          <w:sz w:val="32"/>
          <w:szCs w:val="32"/>
          <w:lang w:val="en-US" w:eastAsia="zh-Hans" w:bidi="ar-SA"/>
        </w:rPr>
        <w:t>本地</w:t>
      </w:r>
      <w:r>
        <w:rPr>
          <w:rFonts w:hint="eastAsia" w:ascii="仿宋_GB2312" w:hAnsi="仿宋_GB2312" w:eastAsia="仿宋_GB2312" w:cs="仿宋_GB2312"/>
          <w:color w:val="0C0C0C"/>
          <w:kern w:val="0"/>
          <w:sz w:val="32"/>
          <w:szCs w:val="32"/>
          <w:lang w:val="en-US" w:eastAsia="zh-CN" w:bidi="ar-SA"/>
        </w:rPr>
        <w:t>各地</w:t>
      </w:r>
      <w:r>
        <w:rPr>
          <w:rFonts w:hint="eastAsia" w:ascii="仿宋_GB2312" w:hAnsi="仿宋_GB2312" w:eastAsia="仿宋_GB2312" w:cs="仿宋_GB2312"/>
          <w:color w:val="0C0C0C"/>
          <w:kern w:val="0"/>
          <w:sz w:val="32"/>
          <w:szCs w:val="32"/>
          <w:lang w:val="en-US" w:eastAsia="zh-Hans" w:bidi="ar-SA"/>
        </w:rPr>
        <w:t>各企业</w:t>
      </w:r>
      <w:r>
        <w:rPr>
          <w:rFonts w:hint="eastAsia" w:ascii="仿宋_GB2312" w:hAnsi="仿宋_GB2312" w:eastAsia="仿宋_GB2312" w:cs="仿宋_GB2312"/>
          <w:color w:val="0C0C0C"/>
          <w:kern w:val="0"/>
          <w:sz w:val="32"/>
          <w:szCs w:val="32"/>
          <w:lang w:val="en-US" w:eastAsia="zh-CN" w:bidi="ar-SA"/>
        </w:rPr>
        <w:t>调研，了解政策和市场需求，制定学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就业工作计划，同时广泛联络各地校友及就业同行，巩固就业市场。</w:t>
      </w:r>
    </w:p>
    <w:p>
      <w:pPr>
        <w:pStyle w:val="5"/>
        <w:bidi w:val="0"/>
        <w:rPr>
          <w:rFonts w:hint="default" w:ascii="仿宋_GB2312" w:hAnsi="仿宋_GB2312" w:eastAsia="仿宋_GB2312" w:cs="仿宋_GB2312"/>
          <w:b/>
          <w:bCs/>
          <w:color w:val="0C0C0C"/>
          <w:kern w:val="0"/>
          <w:sz w:val="32"/>
          <w:szCs w:val="32"/>
          <w:lang w:val="en-US" w:eastAsia="zh-CN" w:bidi="ar-SA"/>
        </w:rPr>
      </w:pPr>
      <w:bookmarkStart w:id="19" w:name="_Toc25005"/>
      <w:r>
        <w:rPr>
          <w:rFonts w:hint="eastAsia" w:ascii="仿宋_GB2312" w:hAnsi="仿宋_GB2312" w:eastAsia="仿宋_GB2312" w:cs="仿宋_GB2312"/>
          <w:b/>
          <w:bCs/>
          <w:color w:val="0C0C0C"/>
          <w:kern w:val="0"/>
          <w:sz w:val="32"/>
          <w:szCs w:val="32"/>
          <w:lang w:val="en-US" w:eastAsia="zh-CN" w:bidi="ar-SA"/>
        </w:rPr>
        <w:t>2.4.3 初次就业起薪</w:t>
      </w:r>
      <w:bookmarkEnd w:id="19"/>
      <w:r>
        <w:rPr>
          <w:rFonts w:hint="eastAsia" w:ascii="仿宋_GB2312" w:hAnsi="仿宋_GB2312" w:eastAsia="仿宋_GB2312" w:cs="仿宋_GB2312"/>
          <w:b/>
          <w:bCs/>
          <w:color w:val="0C0C0C"/>
          <w:kern w:val="0"/>
          <w:sz w:val="32"/>
          <w:szCs w:val="32"/>
          <w:lang w:val="en-US" w:eastAsia="zh-CN" w:bidi="ar-SA"/>
        </w:rPr>
        <w:t xml:space="preserve"> </w:t>
      </w:r>
    </w:p>
    <w:p>
      <w:pPr>
        <w:keepNext w:val="0"/>
        <w:keepLines w:val="0"/>
        <w:widowControl/>
        <w:suppressLineNumbers w:val="0"/>
        <w:spacing w:line="360" w:lineRule="auto"/>
        <w:ind w:firstLine="640" w:firstLineChars="200"/>
        <w:jc w:val="left"/>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2022年，受疫情影响，多个专业的毕业生就业起薪比去年低，</w:t>
      </w:r>
      <w:r>
        <w:rPr>
          <w:rFonts w:hint="eastAsia" w:ascii="仿宋_GB2312" w:hAnsi="仿宋_GB2312" w:eastAsia="仿宋_GB2312" w:cs="仿宋_GB2312"/>
          <w:color w:val="0C0C0C"/>
          <w:kern w:val="0"/>
          <w:sz w:val="32"/>
          <w:szCs w:val="32"/>
          <w:lang w:val="en-US" w:eastAsia="zh-Hans" w:bidi="ar-SA"/>
        </w:rPr>
        <w:t>如：幼儿教育，旅游服务与管理专业</w:t>
      </w:r>
      <w:r>
        <w:rPr>
          <w:rFonts w:hint="eastAsia" w:ascii="仿宋_GB2312" w:hAnsi="仿宋_GB2312" w:eastAsia="仿宋_GB2312" w:cs="仿宋_GB2312"/>
          <w:color w:val="0C0C0C"/>
          <w:kern w:val="0"/>
          <w:sz w:val="32"/>
          <w:szCs w:val="32"/>
          <w:lang w:val="en-US" w:eastAsia="zh-CN" w:bidi="ar-SA"/>
        </w:rPr>
        <w:t>起薪较</w:t>
      </w:r>
      <w:r>
        <w:rPr>
          <w:rFonts w:hint="eastAsia" w:ascii="仿宋_GB2312" w:hAnsi="仿宋_GB2312" w:eastAsia="仿宋_GB2312" w:cs="仿宋_GB2312"/>
          <w:color w:val="0C0C0C"/>
          <w:kern w:val="0"/>
          <w:sz w:val="32"/>
          <w:szCs w:val="32"/>
          <w:lang w:val="en-US" w:eastAsia="zh-Hans" w:bidi="ar-SA"/>
        </w:rPr>
        <w:t>低</w:t>
      </w:r>
      <w:r>
        <w:rPr>
          <w:rFonts w:hint="eastAsia" w:ascii="仿宋_GB2312" w:hAnsi="仿宋_GB2312" w:eastAsia="仿宋_GB2312" w:cs="仿宋_GB2312"/>
          <w:color w:val="0C0C0C"/>
          <w:kern w:val="0"/>
          <w:sz w:val="32"/>
          <w:szCs w:val="32"/>
          <w:lang w:val="en-US" w:eastAsia="zh-CN" w:bidi="ar-SA"/>
        </w:rPr>
        <w:t>。</w:t>
      </w:r>
    </w:p>
    <w:p>
      <w:pPr>
        <w:keepNext w:val="0"/>
        <w:keepLines w:val="0"/>
        <w:widowControl/>
        <w:suppressLineNumbers w:val="0"/>
        <w:spacing w:line="360" w:lineRule="auto"/>
        <w:ind w:firstLine="640" w:firstLineChars="200"/>
        <w:jc w:val="left"/>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Hans" w:bidi="ar-SA"/>
        </w:rPr>
        <w:t>我校</w:t>
      </w:r>
      <w:r>
        <w:rPr>
          <w:rFonts w:hint="eastAsia" w:ascii="仿宋_GB2312" w:hAnsi="仿宋_GB2312" w:eastAsia="仿宋_GB2312" w:cs="仿宋_GB2312"/>
          <w:color w:val="0C0C0C"/>
          <w:kern w:val="0"/>
          <w:sz w:val="32"/>
          <w:szCs w:val="32"/>
          <w:lang w:val="en-US" w:eastAsia="zh-CN" w:bidi="ar-SA"/>
        </w:rPr>
        <w:t>明确创业教育是培养学生的创业精神，是面对不确定未来的勇气和坚持。提出“先参与创业，再主导创业”的概念，学生离开学校踏上社会之后为自己打造一份事业基础的过程就是“创业”。每学期，学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均邀请校内外指导教师开设</w:t>
      </w:r>
      <w:r>
        <w:rPr>
          <w:rFonts w:hint="eastAsia" w:ascii="仿宋_GB2312" w:hAnsi="仿宋_GB2312" w:eastAsia="仿宋_GB2312" w:cs="仿宋_GB2312"/>
          <w:color w:val="0C0C0C"/>
          <w:kern w:val="0"/>
          <w:sz w:val="32"/>
          <w:szCs w:val="32"/>
          <w:lang w:val="en-US" w:eastAsia="zh-Hans" w:bidi="ar-SA"/>
        </w:rPr>
        <w:t>就业指导课程</w:t>
      </w:r>
      <w:r>
        <w:rPr>
          <w:rFonts w:hint="eastAsia" w:ascii="仿宋_GB2312" w:hAnsi="仿宋_GB2312" w:eastAsia="仿宋_GB2312" w:cs="仿宋_GB2312"/>
          <w:color w:val="0C0C0C"/>
          <w:kern w:val="0"/>
          <w:sz w:val="32"/>
          <w:szCs w:val="32"/>
          <w:lang w:val="en-US" w:eastAsia="zh-CN" w:bidi="ar-SA"/>
        </w:rPr>
        <w:t>，从就业创业政策、形势、择业创业的基本原则等方面给予指导，增强了学生创业的热情和信心。</w:t>
      </w:r>
    </w:p>
    <w:p>
      <w:pPr>
        <w:keepNext w:val="0"/>
        <w:keepLines w:val="0"/>
        <w:widowControl/>
        <w:suppressLineNumbers w:val="0"/>
        <w:spacing w:line="360" w:lineRule="auto"/>
        <w:jc w:val="left"/>
        <w:rPr>
          <w:rFonts w:hint="default"/>
          <w:lang w:val="en-US" w:eastAsia="zh-CN"/>
        </w:rPr>
      </w:pPr>
      <w:r>
        <w:rPr>
          <w:rFonts w:hint="eastAsia" w:ascii="仿宋_GB2312" w:hAnsi="仿宋_GB2312" w:eastAsia="仿宋_GB2312" w:cs="仿宋_GB2312"/>
          <w:color w:val="0C0C0C"/>
          <w:kern w:val="0"/>
          <w:sz w:val="32"/>
          <w:szCs w:val="32"/>
          <w:lang w:val="en-US" w:eastAsia="zh-CN" w:bidi="ar-SA"/>
        </w:rPr>
        <w:t>学</w:t>
      </w:r>
      <w:r>
        <w:rPr>
          <w:rFonts w:hint="eastAsia" w:ascii="仿宋_GB2312" w:hAnsi="仿宋_GB2312" w:eastAsia="仿宋_GB2312" w:cs="仿宋_GB2312"/>
          <w:color w:val="0C0C0C"/>
          <w:kern w:val="0"/>
          <w:sz w:val="32"/>
          <w:szCs w:val="32"/>
          <w:lang w:val="en-US" w:eastAsia="zh-Hans" w:bidi="ar-SA"/>
        </w:rPr>
        <w:t>校</w:t>
      </w:r>
      <w:r>
        <w:rPr>
          <w:rFonts w:hint="eastAsia" w:ascii="仿宋_GB2312" w:hAnsi="仿宋_GB2312" w:eastAsia="仿宋_GB2312" w:cs="仿宋_GB2312"/>
          <w:color w:val="0C0C0C"/>
          <w:kern w:val="0"/>
          <w:sz w:val="32"/>
          <w:szCs w:val="32"/>
          <w:lang w:val="en-US" w:eastAsia="zh-CN" w:bidi="ar-SA"/>
        </w:rPr>
        <w:t>根据学科特点，结合创业计划大赛，引导学生科技创业。给有创新能力和需求的学生提供</w:t>
      </w:r>
      <w:r>
        <w:rPr>
          <w:rFonts w:hint="eastAsia" w:ascii="仿宋_GB2312" w:hAnsi="仿宋_GB2312" w:eastAsia="仿宋_GB2312" w:cs="仿宋_GB2312"/>
          <w:color w:val="0C0C0C"/>
          <w:kern w:val="0"/>
          <w:sz w:val="32"/>
          <w:szCs w:val="32"/>
          <w:lang w:val="en-US" w:eastAsia="zh-Hans" w:bidi="ar-SA"/>
        </w:rPr>
        <w:t>培训</w:t>
      </w:r>
      <w:r>
        <w:rPr>
          <w:rFonts w:hint="eastAsia" w:ascii="仿宋_GB2312" w:hAnsi="仿宋_GB2312" w:eastAsia="仿宋_GB2312" w:cs="仿宋_GB2312"/>
          <w:color w:val="0C0C0C"/>
          <w:kern w:val="0"/>
          <w:sz w:val="32"/>
          <w:szCs w:val="32"/>
          <w:lang w:val="en-US" w:eastAsia="zh-CN" w:bidi="ar-SA"/>
        </w:rPr>
        <w:t>，激发兴趣、浓郁氛围。充分发挥学生社团优势，开展各种活动，模拟就业创业，举办模拟人才招聘、技能竞赛、设立SIYB</w:t>
      </w:r>
      <w:r>
        <w:rPr>
          <w:rFonts w:hint="eastAsia" w:ascii="仿宋_GB2312" w:hAnsi="仿宋_GB2312" w:eastAsia="仿宋_GB2312" w:cs="仿宋_GB2312"/>
          <w:color w:val="0C0C0C"/>
          <w:kern w:val="0"/>
          <w:sz w:val="32"/>
          <w:szCs w:val="32"/>
          <w:lang w:val="en-US" w:eastAsia="zh-Hans" w:bidi="ar-SA"/>
        </w:rPr>
        <w:t>创业培训</w:t>
      </w:r>
      <w:r>
        <w:rPr>
          <w:rFonts w:hint="eastAsia" w:ascii="仿宋_GB2312" w:hAnsi="仿宋_GB2312" w:eastAsia="仿宋_GB2312" w:cs="仿宋_GB2312"/>
          <w:color w:val="0C0C0C"/>
          <w:kern w:val="0"/>
          <w:sz w:val="32"/>
          <w:szCs w:val="32"/>
          <w:lang w:val="en-US" w:eastAsia="zh-CN" w:bidi="ar-SA"/>
        </w:rPr>
        <w:t>，以多种方式使学生提前感受体验创业就业，尽早选择适合自己的方向。</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20" w:name="_Toc596"/>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2.5创新创业</w:t>
      </w:r>
      <w:bookmarkEnd w:id="20"/>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40" w:firstLineChars="200"/>
        <w:jc w:val="left"/>
        <w:rPr>
          <w:rFonts w:hint="eastAsia" w:ascii="仿宋_GB2312" w:hAnsi="仿宋_GB2312" w:eastAsia="仿宋_GB2312" w:cs="仿宋_GB2312"/>
          <w:b w:val="0"/>
          <w:bCs w:val="0"/>
          <w:color w:val="0C0C0C"/>
          <w:kern w:val="0"/>
          <w:sz w:val="32"/>
          <w:szCs w:val="32"/>
          <w:lang w:val="en-US" w:eastAsia="zh-CN" w:bidi="ar-SA"/>
        </w:rPr>
      </w:pPr>
      <w:bookmarkStart w:id="21" w:name="_Toc20832"/>
      <w:bookmarkStart w:id="22" w:name="_Toc9324"/>
      <w:bookmarkStart w:id="23" w:name="_Toc32590"/>
      <w:bookmarkStart w:id="24" w:name="_Toc8491"/>
      <w:r>
        <w:rPr>
          <w:rFonts w:hint="eastAsia" w:ascii="仿宋_GB2312" w:hAnsi="仿宋_GB2312" w:eastAsia="仿宋_GB2312" w:cs="仿宋_GB2312"/>
          <w:b w:val="0"/>
          <w:bCs w:val="0"/>
          <w:color w:val="0C0C0C"/>
          <w:kern w:val="0"/>
          <w:sz w:val="32"/>
          <w:szCs w:val="32"/>
          <w:lang w:val="en-US" w:eastAsia="zh-CN" w:bidi="ar-SA"/>
        </w:rPr>
        <w:t>在国家“大众创业，万众创新”的“双引擎”发展战略中，我</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认真贯彻落实</w:t>
      </w:r>
      <w:r>
        <w:rPr>
          <w:rFonts w:hint="default" w:ascii="仿宋_GB2312" w:hAnsi="仿宋_GB2312" w:eastAsia="仿宋_GB2312" w:cs="仿宋_GB2312"/>
          <w:b w:val="0"/>
          <w:bCs w:val="0"/>
          <w:color w:val="0C0C0C"/>
          <w:kern w:val="0"/>
          <w:sz w:val="32"/>
          <w:szCs w:val="32"/>
          <w:lang w:val="en-US" w:eastAsia="zh-CN" w:bidi="ar-SA"/>
        </w:rPr>
        <w:t>，</w:t>
      </w:r>
      <w:r>
        <w:rPr>
          <w:rFonts w:hint="eastAsia" w:ascii="仿宋_GB2312" w:hAnsi="仿宋_GB2312" w:eastAsia="仿宋_GB2312" w:cs="仿宋_GB2312"/>
          <w:b w:val="0"/>
          <w:bCs w:val="0"/>
          <w:color w:val="0C0C0C"/>
          <w:kern w:val="0"/>
          <w:sz w:val="32"/>
          <w:szCs w:val="32"/>
          <w:lang w:val="en-US" w:eastAsia="zh-CN" w:bidi="ar-SA"/>
        </w:rPr>
        <w:t>教育部办公厅等十四部门关于印发《职业院校全面开展职业培训促进就业创业行动计划》的通知</w:t>
      </w:r>
      <w:r>
        <w:rPr>
          <w:rFonts w:hint="default" w:ascii="仿宋_GB2312" w:hAnsi="仿宋_GB2312" w:eastAsia="仿宋_GB2312" w:cs="仿宋_GB2312"/>
          <w:b w:val="0"/>
          <w:bCs w:val="0"/>
          <w:color w:val="0C0C0C"/>
          <w:kern w:val="0"/>
          <w:sz w:val="32"/>
          <w:szCs w:val="32"/>
          <w:lang w:val="en-US" w:eastAsia="zh-CN" w:bidi="ar-SA"/>
        </w:rPr>
        <w:t>，</w:t>
      </w:r>
      <w:r>
        <w:rPr>
          <w:rFonts w:hint="eastAsia" w:ascii="仿宋_GB2312" w:hAnsi="仿宋_GB2312" w:eastAsia="仿宋_GB2312" w:cs="仿宋_GB2312"/>
          <w:b w:val="0"/>
          <w:bCs w:val="0"/>
          <w:color w:val="0C0C0C"/>
          <w:kern w:val="0"/>
          <w:sz w:val="32"/>
          <w:szCs w:val="32"/>
          <w:lang w:val="en-US" w:eastAsia="zh-CN" w:bidi="ar-SA"/>
        </w:rPr>
        <w:t>坚持从创新创业现状和创新创业实际出发，从点、线、面等积极引导</w:t>
      </w:r>
      <w:r>
        <w:rPr>
          <w:rFonts w:hint="eastAsia" w:ascii="仿宋_GB2312" w:hAnsi="仿宋_GB2312" w:eastAsia="仿宋_GB2312" w:cs="仿宋_GB2312"/>
          <w:b w:val="0"/>
          <w:bCs w:val="0"/>
          <w:color w:val="0C0C0C"/>
          <w:kern w:val="0"/>
          <w:sz w:val="32"/>
          <w:szCs w:val="32"/>
          <w:lang w:val="en-US" w:eastAsia="zh-Hans" w:bidi="ar-SA"/>
        </w:rPr>
        <w:t>中职</w:t>
      </w:r>
      <w:r>
        <w:rPr>
          <w:rFonts w:hint="eastAsia" w:ascii="仿宋_GB2312" w:hAnsi="仿宋_GB2312" w:eastAsia="仿宋_GB2312" w:cs="仿宋_GB2312"/>
          <w:b w:val="0"/>
          <w:bCs w:val="0"/>
          <w:color w:val="0C0C0C"/>
          <w:kern w:val="0"/>
          <w:sz w:val="32"/>
          <w:szCs w:val="32"/>
          <w:lang w:val="en-US" w:eastAsia="zh-CN" w:bidi="ar-SA"/>
        </w:rPr>
        <w:t>学生创新创业。</w:t>
      </w:r>
      <w:bookmarkEnd w:id="21"/>
      <w:bookmarkEnd w:id="22"/>
      <w:bookmarkEnd w:id="23"/>
      <w:bookmarkEnd w:id="24"/>
    </w:p>
    <w:p>
      <w:pPr>
        <w:pStyle w:val="5"/>
        <w:bidi w:val="0"/>
        <w:rPr>
          <w:rFonts w:hint="eastAsia" w:ascii="仿宋_GB2312" w:hAnsi="仿宋_GB2312" w:eastAsia="仿宋_GB2312" w:cs="仿宋_GB2312"/>
          <w:b/>
          <w:bCs/>
          <w:color w:val="0C0C0C"/>
          <w:kern w:val="0"/>
          <w:sz w:val="32"/>
          <w:szCs w:val="32"/>
          <w:lang w:val="en-US" w:eastAsia="zh-CN" w:bidi="ar-SA"/>
        </w:rPr>
      </w:pPr>
      <w:bookmarkStart w:id="25" w:name="_Toc28592"/>
      <w:r>
        <w:rPr>
          <w:rFonts w:hint="eastAsia" w:ascii="仿宋_GB2312" w:hAnsi="仿宋_GB2312" w:eastAsia="仿宋_GB2312" w:cs="仿宋_GB2312"/>
          <w:b/>
          <w:bCs/>
          <w:color w:val="0C0C0C"/>
          <w:kern w:val="0"/>
          <w:sz w:val="32"/>
          <w:szCs w:val="32"/>
          <w:lang w:val="en-US" w:eastAsia="zh-CN" w:bidi="ar-SA"/>
        </w:rPr>
        <w:t>2.5.1领导高度重视</w:t>
      </w:r>
      <w:bookmarkEnd w:id="25"/>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rPr>
          <w:rFonts w:hint="eastAsia" w:ascii="仿宋_GB2312" w:hAnsi="仿宋_GB2312" w:eastAsia="仿宋_GB2312" w:cs="仿宋_GB2312"/>
          <w:b w:val="0"/>
          <w:bCs w:val="0"/>
          <w:color w:val="0C0C0C"/>
          <w:kern w:val="0"/>
          <w:sz w:val="32"/>
          <w:szCs w:val="32"/>
          <w:lang w:val="en-US" w:eastAsia="zh-CN" w:bidi="ar-SA"/>
        </w:rPr>
      </w:pPr>
      <w:r>
        <w:rPr>
          <w:rFonts w:hint="eastAsia" w:ascii="仿宋" w:hAnsi="仿宋" w:eastAsia="仿宋" w:cs="仿宋"/>
          <w:b w:val="0"/>
          <w:bCs w:val="0"/>
          <w:i w:val="0"/>
          <w:iCs w:val="0"/>
          <w:caps w:val="0"/>
          <w:color w:val="333333"/>
          <w:spacing w:val="0"/>
          <w:sz w:val="32"/>
          <w:szCs w:val="32"/>
          <w:u w:val="none"/>
        </w:rPr>
        <w:t>　　</w:t>
      </w:r>
      <w:r>
        <w:rPr>
          <w:rFonts w:hint="eastAsia" w:ascii="仿宋_GB2312" w:hAnsi="仿宋_GB2312" w:eastAsia="仿宋_GB2312" w:cs="仿宋_GB2312"/>
          <w:b w:val="0"/>
          <w:bCs w:val="0"/>
          <w:color w:val="0C0C0C"/>
          <w:kern w:val="0"/>
          <w:sz w:val="32"/>
          <w:szCs w:val="32"/>
          <w:lang w:val="en-US" w:eastAsia="zh-CN" w:bidi="ar-SA"/>
        </w:rPr>
        <w:t>在省教育厅和</w:t>
      </w:r>
      <w:r>
        <w:rPr>
          <w:rFonts w:hint="eastAsia" w:ascii="仿宋_GB2312" w:hAnsi="仿宋_GB2312" w:eastAsia="仿宋_GB2312" w:cs="仿宋_GB2312"/>
          <w:b w:val="0"/>
          <w:bCs w:val="0"/>
          <w:color w:val="0C0C0C"/>
          <w:kern w:val="0"/>
          <w:sz w:val="32"/>
          <w:szCs w:val="32"/>
          <w:lang w:val="en-US" w:eastAsia="zh-Hans" w:bidi="ar-SA"/>
        </w:rPr>
        <w:t>鹰潭</w:t>
      </w:r>
      <w:r>
        <w:rPr>
          <w:rFonts w:hint="eastAsia" w:ascii="仿宋_GB2312" w:hAnsi="仿宋_GB2312" w:eastAsia="仿宋_GB2312" w:cs="仿宋_GB2312"/>
          <w:b w:val="0"/>
          <w:bCs w:val="0"/>
          <w:color w:val="0C0C0C"/>
          <w:kern w:val="0"/>
          <w:sz w:val="32"/>
          <w:szCs w:val="32"/>
          <w:lang w:val="en-US" w:eastAsia="zh-CN" w:bidi="ar-SA"/>
        </w:rPr>
        <w:t>市委、市政府</w:t>
      </w:r>
      <w:r>
        <w:rPr>
          <w:rFonts w:hint="eastAsia" w:ascii="仿宋_GB2312" w:hAnsi="仿宋_GB2312" w:eastAsia="仿宋_GB2312" w:cs="仿宋_GB2312"/>
          <w:b w:val="0"/>
          <w:bCs w:val="0"/>
          <w:color w:val="0C0C0C"/>
          <w:kern w:val="0"/>
          <w:sz w:val="32"/>
          <w:szCs w:val="32"/>
          <w:lang w:val="en-US" w:eastAsia="zh-Hans" w:bidi="ar-SA"/>
        </w:rPr>
        <w:t>和余江区委区政府</w:t>
      </w:r>
      <w:r>
        <w:rPr>
          <w:rFonts w:hint="eastAsia" w:ascii="仿宋_GB2312" w:hAnsi="仿宋_GB2312" w:eastAsia="仿宋_GB2312" w:cs="仿宋_GB2312"/>
          <w:b w:val="0"/>
          <w:bCs w:val="0"/>
          <w:color w:val="0C0C0C"/>
          <w:kern w:val="0"/>
          <w:sz w:val="32"/>
          <w:szCs w:val="32"/>
          <w:lang w:val="en-US" w:eastAsia="zh-CN" w:bidi="ar-SA"/>
        </w:rPr>
        <w:t>的正确领导下，我</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领导高度重视学生创新创业工作，党委书记、</w:t>
      </w:r>
      <w:r>
        <w:rPr>
          <w:rFonts w:hint="eastAsia" w:ascii="仿宋_GB2312" w:hAnsi="仿宋_GB2312" w:eastAsia="仿宋_GB2312" w:cs="仿宋_GB2312"/>
          <w:b w:val="0"/>
          <w:bCs w:val="0"/>
          <w:color w:val="0C0C0C"/>
          <w:kern w:val="0"/>
          <w:sz w:val="32"/>
          <w:szCs w:val="32"/>
          <w:lang w:val="en-US" w:eastAsia="zh-Hans" w:bidi="ar-SA"/>
        </w:rPr>
        <w:t>校长</w:t>
      </w:r>
      <w:r>
        <w:rPr>
          <w:rFonts w:hint="eastAsia" w:ascii="仿宋_GB2312" w:hAnsi="仿宋_GB2312" w:eastAsia="仿宋_GB2312" w:cs="仿宋_GB2312"/>
          <w:b w:val="0"/>
          <w:bCs w:val="0"/>
          <w:color w:val="0C0C0C"/>
          <w:kern w:val="0"/>
          <w:sz w:val="32"/>
          <w:szCs w:val="32"/>
          <w:lang w:val="en-US" w:eastAsia="zh-CN" w:bidi="ar-SA"/>
        </w:rPr>
        <w:t>经常深入</w:t>
      </w:r>
      <w:r>
        <w:rPr>
          <w:rFonts w:hint="eastAsia" w:ascii="仿宋_GB2312" w:hAnsi="仿宋_GB2312" w:eastAsia="仿宋_GB2312" w:cs="仿宋_GB2312"/>
          <w:b w:val="0"/>
          <w:bCs w:val="0"/>
          <w:color w:val="0C0C0C"/>
          <w:kern w:val="0"/>
          <w:sz w:val="32"/>
          <w:szCs w:val="32"/>
          <w:lang w:val="en-US" w:eastAsia="zh-Hans" w:bidi="ar-SA"/>
        </w:rPr>
        <w:t>班级</w:t>
      </w:r>
      <w:r>
        <w:rPr>
          <w:rFonts w:hint="eastAsia" w:ascii="仿宋_GB2312" w:hAnsi="仿宋_GB2312" w:eastAsia="仿宋_GB2312" w:cs="仿宋_GB2312"/>
          <w:b w:val="0"/>
          <w:bCs w:val="0"/>
          <w:color w:val="0C0C0C"/>
          <w:kern w:val="0"/>
          <w:sz w:val="32"/>
          <w:szCs w:val="32"/>
          <w:lang w:val="en-US" w:eastAsia="zh-CN" w:bidi="ar-SA"/>
        </w:rPr>
        <w:t>检查指导，分管领导具体指导学生创新创业工作。</w:t>
      </w:r>
      <w:r>
        <w:rPr>
          <w:rFonts w:hint="eastAsia" w:ascii="仿宋_GB2312" w:hAnsi="仿宋_GB2312" w:eastAsia="仿宋_GB2312" w:cs="仿宋_GB2312"/>
          <w:b w:val="0"/>
          <w:bCs w:val="0"/>
          <w:color w:val="0C0C0C"/>
          <w:kern w:val="0"/>
          <w:sz w:val="32"/>
          <w:szCs w:val="32"/>
          <w:lang w:val="en-US" w:eastAsia="zh-Hans" w:bidi="ar-SA"/>
        </w:rPr>
        <w:t>鹰潭应用工程学校</w:t>
      </w:r>
      <w:r>
        <w:rPr>
          <w:rFonts w:hint="eastAsia" w:ascii="仿宋_GB2312" w:hAnsi="仿宋_GB2312" w:eastAsia="仿宋_GB2312" w:cs="仿宋_GB2312"/>
          <w:b w:val="0"/>
          <w:bCs w:val="0"/>
          <w:color w:val="0C0C0C"/>
          <w:kern w:val="0"/>
          <w:sz w:val="32"/>
          <w:szCs w:val="32"/>
          <w:lang w:val="en-US" w:eastAsia="zh-CN" w:bidi="ar-SA"/>
        </w:rPr>
        <w:t>党委书记、</w:t>
      </w:r>
      <w:r>
        <w:rPr>
          <w:rFonts w:hint="eastAsia" w:ascii="仿宋_GB2312" w:hAnsi="仿宋_GB2312" w:eastAsia="仿宋_GB2312" w:cs="仿宋_GB2312"/>
          <w:b w:val="0"/>
          <w:bCs w:val="0"/>
          <w:color w:val="0C0C0C"/>
          <w:kern w:val="0"/>
          <w:sz w:val="32"/>
          <w:szCs w:val="32"/>
          <w:lang w:val="en-US" w:eastAsia="zh-Hans" w:bidi="ar-SA"/>
        </w:rPr>
        <w:t>校长</w:t>
      </w:r>
      <w:r>
        <w:rPr>
          <w:rFonts w:hint="eastAsia" w:ascii="仿宋_GB2312" w:hAnsi="仿宋_GB2312" w:eastAsia="仿宋_GB2312" w:cs="仿宋_GB2312"/>
          <w:b w:val="0"/>
          <w:bCs w:val="0"/>
          <w:color w:val="0C0C0C"/>
          <w:kern w:val="0"/>
          <w:sz w:val="32"/>
          <w:szCs w:val="32"/>
          <w:lang w:val="en-US" w:eastAsia="zh-CN" w:bidi="ar-SA"/>
        </w:rPr>
        <w:t>亲自担任学生创新创业工作领导小组组长，教学系(部)均设立了“创新创业工作领导小组”。学</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先后在校园中建立了“就业</w:t>
      </w:r>
      <w:r>
        <w:rPr>
          <w:rFonts w:hint="eastAsia" w:ascii="仿宋_GB2312" w:hAnsi="仿宋_GB2312" w:eastAsia="仿宋_GB2312" w:cs="仿宋_GB2312"/>
          <w:b w:val="0"/>
          <w:bCs w:val="0"/>
          <w:color w:val="0C0C0C"/>
          <w:kern w:val="0"/>
          <w:sz w:val="32"/>
          <w:szCs w:val="32"/>
          <w:lang w:val="en-US" w:eastAsia="zh-Hans" w:bidi="ar-SA"/>
        </w:rPr>
        <w:t>指导课程</w:t>
      </w:r>
      <w:r>
        <w:rPr>
          <w:rFonts w:hint="eastAsia" w:ascii="仿宋_GB2312" w:hAnsi="仿宋_GB2312" w:eastAsia="仿宋_GB2312" w:cs="仿宋_GB2312"/>
          <w:b w:val="0"/>
          <w:bCs w:val="0"/>
          <w:color w:val="0C0C0C"/>
          <w:kern w:val="0"/>
          <w:sz w:val="32"/>
          <w:szCs w:val="32"/>
          <w:lang w:val="en-US" w:eastAsia="zh-CN" w:bidi="ar-SA"/>
        </w:rPr>
        <w:t>”，成立了“SYB创业</w:t>
      </w:r>
      <w:r>
        <w:rPr>
          <w:rFonts w:hint="eastAsia" w:ascii="仿宋_GB2312" w:hAnsi="仿宋_GB2312" w:eastAsia="仿宋_GB2312" w:cs="仿宋_GB2312"/>
          <w:b w:val="0"/>
          <w:bCs w:val="0"/>
          <w:color w:val="0C0C0C"/>
          <w:kern w:val="0"/>
          <w:sz w:val="32"/>
          <w:szCs w:val="32"/>
          <w:lang w:val="en-US" w:eastAsia="zh-Hans" w:bidi="ar-SA"/>
        </w:rPr>
        <w:t>培训</w:t>
      </w:r>
      <w:r>
        <w:rPr>
          <w:rFonts w:hint="eastAsia" w:ascii="仿宋_GB2312" w:hAnsi="仿宋_GB2312" w:eastAsia="仿宋_GB2312" w:cs="仿宋_GB2312"/>
          <w:b w:val="0"/>
          <w:bCs w:val="0"/>
          <w:color w:val="0C0C0C"/>
          <w:kern w:val="0"/>
          <w:sz w:val="32"/>
          <w:szCs w:val="32"/>
          <w:lang w:val="en-US" w:eastAsia="zh-CN" w:bidi="ar-SA"/>
        </w:rPr>
        <w:t>”</w:t>
      </w:r>
      <w:r>
        <w:rPr>
          <w:rFonts w:hint="eastAsia" w:ascii="仿宋_GB2312" w:hAnsi="仿宋_GB2312" w:eastAsia="仿宋_GB2312" w:cs="仿宋_GB2312"/>
          <w:b w:val="0"/>
          <w:bCs w:val="0"/>
          <w:color w:val="0C0C0C"/>
          <w:kern w:val="0"/>
          <w:sz w:val="32"/>
          <w:szCs w:val="32"/>
          <w:lang w:val="en-US" w:eastAsia="zh-Hans" w:bidi="ar-SA"/>
        </w:rPr>
        <w:t>课程</w:t>
      </w:r>
      <w:r>
        <w:rPr>
          <w:rFonts w:hint="eastAsia" w:ascii="仿宋_GB2312" w:hAnsi="仿宋_GB2312" w:eastAsia="仿宋_GB2312" w:cs="仿宋_GB2312"/>
          <w:b w:val="0"/>
          <w:bCs w:val="0"/>
          <w:color w:val="0C0C0C"/>
          <w:kern w:val="0"/>
          <w:sz w:val="32"/>
          <w:szCs w:val="32"/>
          <w:lang w:val="en-US" w:eastAsia="zh-CN" w:bidi="ar-SA"/>
        </w:rPr>
        <w:t>。</w:t>
      </w:r>
    </w:p>
    <w:p>
      <w:pPr>
        <w:pStyle w:val="5"/>
        <w:bidi w:val="0"/>
        <w:rPr>
          <w:rFonts w:hint="eastAsia" w:ascii="仿宋_GB2312" w:hAnsi="仿宋_GB2312" w:eastAsia="仿宋_GB2312" w:cs="仿宋_GB2312"/>
          <w:b/>
          <w:bCs/>
          <w:color w:val="0C0C0C"/>
          <w:kern w:val="0"/>
          <w:sz w:val="32"/>
          <w:szCs w:val="32"/>
          <w:lang w:val="en-US" w:eastAsia="zh-CN" w:bidi="ar-SA"/>
        </w:rPr>
      </w:pPr>
      <w:bookmarkStart w:id="26" w:name="_Toc15026"/>
      <w:r>
        <w:rPr>
          <w:rFonts w:hint="eastAsia" w:ascii="仿宋_GB2312" w:hAnsi="仿宋_GB2312" w:eastAsia="仿宋_GB2312" w:cs="仿宋_GB2312"/>
          <w:b/>
          <w:bCs/>
          <w:color w:val="0C0C0C"/>
          <w:kern w:val="0"/>
          <w:sz w:val="32"/>
          <w:szCs w:val="32"/>
          <w:lang w:val="en-US" w:eastAsia="zh-CN" w:bidi="ar-SA"/>
        </w:rPr>
        <w:t>2.5.2加强就业创业教育</w:t>
      </w:r>
      <w:bookmarkEnd w:id="26"/>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jc w:val="left"/>
        <w:rPr>
          <w:rFonts w:hint="eastAsia" w:ascii="仿宋_GB2312" w:hAnsi="仿宋_GB2312" w:eastAsia="仿宋_GB2312" w:cs="仿宋_GB2312"/>
          <w:b w:val="0"/>
          <w:bCs w:val="0"/>
          <w:color w:val="0C0C0C"/>
          <w:kern w:val="0"/>
          <w:sz w:val="32"/>
          <w:szCs w:val="32"/>
          <w:lang w:val="en-US" w:eastAsia="zh-CN" w:bidi="ar-SA"/>
        </w:rPr>
      </w:pPr>
      <w:bookmarkStart w:id="27" w:name="_Toc26479"/>
      <w:bookmarkStart w:id="28" w:name="_Toc20199"/>
      <w:bookmarkStart w:id="29" w:name="_Toc18146"/>
      <w:bookmarkStart w:id="30" w:name="_Toc1439"/>
      <w:r>
        <w:rPr>
          <w:rFonts w:hint="eastAsia" w:ascii="仿宋_GB2312" w:hAnsi="仿宋_GB2312" w:eastAsia="仿宋_GB2312" w:cs="仿宋_GB2312"/>
          <w:b w:val="0"/>
          <w:bCs w:val="0"/>
          <w:color w:val="0C0C0C"/>
          <w:kern w:val="0"/>
          <w:sz w:val="32"/>
          <w:szCs w:val="32"/>
          <w:lang w:val="en-US" w:eastAsia="zh-CN" w:bidi="ar-SA"/>
        </w:rPr>
        <w:t>为促进</w:t>
      </w:r>
      <w:r>
        <w:rPr>
          <w:rFonts w:hint="eastAsia" w:ascii="仿宋_GB2312" w:hAnsi="仿宋_GB2312" w:eastAsia="仿宋_GB2312" w:cs="仿宋_GB2312"/>
          <w:b w:val="0"/>
          <w:bCs w:val="0"/>
          <w:color w:val="0C0C0C"/>
          <w:kern w:val="0"/>
          <w:sz w:val="32"/>
          <w:szCs w:val="32"/>
          <w:lang w:val="en-US" w:eastAsia="zh-Hans" w:bidi="ar-SA"/>
        </w:rPr>
        <w:t>中职</w:t>
      </w:r>
      <w:r>
        <w:rPr>
          <w:rFonts w:hint="eastAsia" w:ascii="仿宋_GB2312" w:hAnsi="仿宋_GB2312" w:eastAsia="仿宋_GB2312" w:cs="仿宋_GB2312"/>
          <w:b w:val="0"/>
          <w:bCs w:val="0"/>
          <w:color w:val="0C0C0C"/>
          <w:kern w:val="0"/>
          <w:sz w:val="32"/>
          <w:szCs w:val="32"/>
          <w:lang w:val="en-US" w:eastAsia="zh-CN" w:bidi="ar-SA"/>
        </w:rPr>
        <w:t>学生就业创业工作，我</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结合实际积极指导职业院校加强就业创业教育。一是以师资培训为先导加强就业创业工作。针对</w:t>
      </w:r>
      <w:r>
        <w:rPr>
          <w:rFonts w:hint="eastAsia" w:ascii="仿宋_GB2312" w:hAnsi="仿宋_GB2312" w:eastAsia="仿宋_GB2312" w:cs="仿宋_GB2312"/>
          <w:b w:val="0"/>
          <w:bCs w:val="0"/>
          <w:color w:val="0C0C0C"/>
          <w:kern w:val="0"/>
          <w:sz w:val="32"/>
          <w:szCs w:val="32"/>
          <w:lang w:val="en-US" w:eastAsia="zh-Hans" w:bidi="ar-SA"/>
        </w:rPr>
        <w:t>职业院校</w:t>
      </w:r>
      <w:r>
        <w:rPr>
          <w:rFonts w:hint="eastAsia" w:ascii="仿宋_GB2312" w:hAnsi="仿宋_GB2312" w:eastAsia="仿宋_GB2312" w:cs="仿宋_GB2312"/>
          <w:b w:val="0"/>
          <w:bCs w:val="0"/>
          <w:color w:val="0C0C0C"/>
          <w:kern w:val="0"/>
          <w:sz w:val="32"/>
          <w:szCs w:val="32"/>
          <w:lang w:val="en-US" w:eastAsia="zh-CN" w:bidi="ar-SA"/>
        </w:rPr>
        <w:t>学生创新创业，学</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先后派出12人次进行培训，然后在校园对班主任进行培训2次。二是以提升</w:t>
      </w:r>
      <w:r>
        <w:rPr>
          <w:rFonts w:hint="eastAsia" w:ascii="仿宋_GB2312" w:hAnsi="仿宋_GB2312" w:eastAsia="仿宋_GB2312" w:cs="仿宋_GB2312"/>
          <w:b w:val="0"/>
          <w:bCs w:val="0"/>
          <w:color w:val="0C0C0C"/>
          <w:kern w:val="0"/>
          <w:sz w:val="32"/>
          <w:szCs w:val="32"/>
          <w:lang w:val="en-US" w:eastAsia="zh-Hans" w:bidi="ar-SA"/>
        </w:rPr>
        <w:t>中职</w:t>
      </w:r>
      <w:r>
        <w:rPr>
          <w:rFonts w:hint="eastAsia" w:ascii="仿宋_GB2312" w:hAnsi="仿宋_GB2312" w:eastAsia="仿宋_GB2312" w:cs="仿宋_GB2312"/>
          <w:b w:val="0"/>
          <w:bCs w:val="0"/>
          <w:color w:val="0C0C0C"/>
          <w:kern w:val="0"/>
          <w:sz w:val="32"/>
          <w:szCs w:val="32"/>
          <w:lang w:val="en-US" w:eastAsia="zh-CN" w:bidi="ar-SA"/>
        </w:rPr>
        <w:t>学生创新创业教育意识为基石推进创业就业工作。学</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与市人社局、市就业局开展了</w:t>
      </w:r>
      <w:r>
        <w:rPr>
          <w:rFonts w:hint="eastAsia" w:ascii="仿宋_GB2312" w:hAnsi="仿宋_GB2312" w:eastAsia="仿宋_GB2312" w:cs="仿宋_GB2312"/>
          <w:b w:val="0"/>
          <w:bCs w:val="0"/>
          <w:color w:val="0C0C0C"/>
          <w:kern w:val="0"/>
          <w:sz w:val="32"/>
          <w:szCs w:val="32"/>
          <w:lang w:val="en-US" w:eastAsia="zh-Hans" w:bidi="ar-SA"/>
        </w:rPr>
        <w:t>多</w:t>
      </w:r>
      <w:r>
        <w:rPr>
          <w:rFonts w:hint="eastAsia" w:ascii="仿宋_GB2312" w:hAnsi="仿宋_GB2312" w:eastAsia="仿宋_GB2312" w:cs="仿宋_GB2312"/>
          <w:b w:val="0"/>
          <w:bCs w:val="0"/>
          <w:color w:val="0C0C0C"/>
          <w:kern w:val="0"/>
          <w:sz w:val="32"/>
          <w:szCs w:val="32"/>
          <w:lang w:val="en-US" w:eastAsia="zh-CN" w:bidi="ar-SA"/>
        </w:rPr>
        <w:t>期大学生SYB创业培训，培训人数</w:t>
      </w:r>
      <w:r>
        <w:rPr>
          <w:rFonts w:hint="eastAsia" w:ascii="仿宋_GB2312" w:hAnsi="仿宋_GB2312" w:eastAsia="仿宋_GB2312" w:cs="仿宋_GB2312"/>
          <w:b w:val="0"/>
          <w:bCs w:val="0"/>
          <w:color w:val="0C0C0C"/>
          <w:kern w:val="0"/>
          <w:sz w:val="32"/>
          <w:szCs w:val="32"/>
          <w:lang w:val="en-US" w:eastAsia="zh-Hans" w:bidi="ar-SA"/>
        </w:rPr>
        <w:t>覆盖</w:t>
      </w:r>
      <w:r>
        <w:rPr>
          <w:rFonts w:hint="eastAsia" w:ascii="仿宋_GB2312" w:hAnsi="仿宋_GB2312" w:eastAsia="仿宋_GB2312" w:cs="仿宋_GB2312"/>
          <w:b w:val="0"/>
          <w:bCs w:val="0"/>
          <w:color w:val="0C0C0C"/>
          <w:kern w:val="0"/>
          <w:sz w:val="32"/>
          <w:szCs w:val="32"/>
          <w:lang w:val="en-US" w:eastAsia="zh-CN" w:bidi="ar-SA"/>
        </w:rPr>
        <w:t>达到了</w:t>
      </w:r>
      <w:r>
        <w:rPr>
          <w:rFonts w:hint="eastAsia" w:ascii="仿宋_GB2312" w:hAnsi="仿宋_GB2312" w:eastAsia="仿宋_GB2312" w:cs="仿宋_GB2312"/>
          <w:b w:val="0"/>
          <w:bCs w:val="0"/>
          <w:color w:val="0C0C0C"/>
          <w:kern w:val="0"/>
          <w:sz w:val="32"/>
          <w:szCs w:val="32"/>
          <w:lang w:val="en-US" w:eastAsia="zh-Hans" w:bidi="ar-SA"/>
        </w:rPr>
        <w:t>学校人数</w:t>
      </w:r>
      <w:r>
        <w:rPr>
          <w:rFonts w:hint="eastAsia" w:ascii="仿宋_GB2312" w:hAnsi="仿宋_GB2312" w:eastAsia="仿宋_GB2312" w:cs="仿宋_GB2312"/>
          <w:b w:val="0"/>
          <w:bCs w:val="0"/>
          <w:color w:val="0C0C0C"/>
          <w:kern w:val="0"/>
          <w:sz w:val="32"/>
          <w:szCs w:val="32"/>
          <w:lang w:val="en-US" w:eastAsia="zh-CN" w:bidi="ar-SA"/>
        </w:rPr>
        <w:t>95%，99%的学员均获得了“合格证书”。</w:t>
      </w:r>
      <w:bookmarkEnd w:id="27"/>
      <w:bookmarkEnd w:id="28"/>
      <w:bookmarkEnd w:id="29"/>
      <w:bookmarkEnd w:id="30"/>
    </w:p>
    <w:p>
      <w:pPr>
        <w:pStyle w:val="5"/>
        <w:bidi w:val="0"/>
        <w:rPr>
          <w:rFonts w:hint="eastAsia" w:ascii="仿宋_GB2312" w:hAnsi="仿宋_GB2312" w:eastAsia="仿宋_GB2312" w:cs="仿宋_GB2312"/>
          <w:b/>
          <w:bCs/>
          <w:color w:val="0C0C0C"/>
          <w:kern w:val="0"/>
          <w:sz w:val="32"/>
          <w:szCs w:val="32"/>
          <w:lang w:val="en-US" w:eastAsia="zh-CN" w:bidi="ar-SA"/>
        </w:rPr>
      </w:pPr>
      <w:bookmarkStart w:id="31" w:name="_Toc10181"/>
      <w:r>
        <w:rPr>
          <w:rFonts w:hint="eastAsia" w:ascii="仿宋_GB2312" w:hAnsi="仿宋_GB2312" w:eastAsia="仿宋_GB2312" w:cs="仿宋_GB2312"/>
          <w:b/>
          <w:bCs/>
          <w:color w:val="0C0C0C"/>
          <w:kern w:val="0"/>
          <w:sz w:val="32"/>
          <w:szCs w:val="32"/>
          <w:lang w:val="en-US" w:eastAsia="zh-CN" w:bidi="ar-SA"/>
        </w:rPr>
        <w:t>2.5.3积极推动就业创业项目实施</w:t>
      </w:r>
      <w:bookmarkEnd w:id="31"/>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rPr>
          <w:rFonts w:hint="eastAsia" w:ascii="仿宋_GB2312" w:hAnsi="仿宋_GB2312" w:eastAsia="仿宋_GB2312" w:cs="仿宋_GB2312"/>
          <w:b w:val="0"/>
          <w:bCs w:val="0"/>
          <w:color w:val="0C0C0C"/>
          <w:kern w:val="0"/>
          <w:sz w:val="32"/>
          <w:szCs w:val="32"/>
          <w:lang w:val="en-US" w:eastAsia="zh-CN" w:bidi="ar-SA"/>
        </w:rPr>
      </w:pPr>
      <w:r>
        <w:rPr>
          <w:rFonts w:hint="eastAsia" w:ascii="仿宋" w:hAnsi="仿宋" w:eastAsia="仿宋" w:cs="仿宋"/>
          <w:b w:val="0"/>
          <w:bCs w:val="0"/>
          <w:i w:val="0"/>
          <w:iCs w:val="0"/>
          <w:caps w:val="0"/>
          <w:color w:val="333333"/>
          <w:spacing w:val="0"/>
          <w:sz w:val="32"/>
          <w:szCs w:val="32"/>
          <w:u w:val="none"/>
        </w:rPr>
        <w:t>　</w:t>
      </w:r>
      <w:r>
        <w:rPr>
          <w:rFonts w:hint="eastAsia" w:ascii="仿宋_GB2312" w:hAnsi="仿宋_GB2312" w:eastAsia="仿宋_GB2312" w:cs="仿宋_GB2312"/>
          <w:b w:val="0"/>
          <w:bCs w:val="0"/>
          <w:color w:val="0C0C0C"/>
          <w:kern w:val="0"/>
          <w:sz w:val="32"/>
          <w:szCs w:val="32"/>
          <w:lang w:val="en-US" w:eastAsia="zh-CN" w:bidi="ar-SA"/>
        </w:rPr>
        <w:t>　一是实施学生、学校和社会三结合的就业创业体系。</w:t>
      </w:r>
      <w:r>
        <w:rPr>
          <w:rFonts w:hint="eastAsia" w:ascii="仿宋_GB2312" w:hAnsi="仿宋_GB2312" w:eastAsia="仿宋_GB2312" w:cs="仿宋_GB2312"/>
          <w:b w:val="0"/>
          <w:bCs w:val="0"/>
          <w:color w:val="0C0C0C"/>
          <w:kern w:val="0"/>
          <w:sz w:val="32"/>
          <w:szCs w:val="32"/>
          <w:lang w:val="en-US" w:eastAsia="zh-Hans" w:bidi="ar-SA"/>
        </w:rPr>
        <w:t>鹰潭应用工程学校</w:t>
      </w:r>
      <w:r>
        <w:rPr>
          <w:rFonts w:hint="eastAsia" w:ascii="仿宋_GB2312" w:hAnsi="仿宋_GB2312" w:eastAsia="仿宋_GB2312" w:cs="仿宋_GB2312"/>
          <w:b w:val="0"/>
          <w:bCs w:val="0"/>
          <w:color w:val="0C0C0C"/>
          <w:kern w:val="0"/>
          <w:sz w:val="32"/>
          <w:szCs w:val="32"/>
          <w:lang w:val="en-US" w:eastAsia="zh-CN" w:bidi="ar-SA"/>
        </w:rPr>
        <w:t>学生创新创业为基石，创业带动就业。为学生提供良好的服务平台，努力使每一位毕业生注入创新创业的意识，达到广种广收的效果。</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rPr>
          <w:rFonts w:hint="eastAsia" w:ascii="仿宋_GB2312" w:hAnsi="仿宋_GB2312" w:eastAsia="仿宋_GB2312" w:cs="仿宋_GB2312"/>
          <w:b w:val="0"/>
          <w:bCs w:val="0"/>
          <w:color w:val="0C0C0C"/>
          <w:kern w:val="0"/>
          <w:sz w:val="32"/>
          <w:szCs w:val="32"/>
          <w:lang w:val="en-US" w:eastAsia="zh-CN" w:bidi="ar-SA"/>
        </w:rPr>
      </w:pPr>
      <w:r>
        <w:rPr>
          <w:rFonts w:hint="eastAsia" w:ascii="仿宋" w:hAnsi="仿宋" w:eastAsia="仿宋" w:cs="仿宋"/>
          <w:b w:val="0"/>
          <w:bCs w:val="0"/>
          <w:i w:val="0"/>
          <w:iCs w:val="0"/>
          <w:caps w:val="0"/>
          <w:color w:val="333333"/>
          <w:spacing w:val="0"/>
          <w:sz w:val="32"/>
          <w:szCs w:val="32"/>
          <w:u w:val="none"/>
        </w:rPr>
        <w:t>　　</w:t>
      </w:r>
      <w:r>
        <w:rPr>
          <w:rFonts w:hint="eastAsia" w:ascii="仿宋_GB2312" w:hAnsi="仿宋_GB2312" w:eastAsia="仿宋_GB2312" w:cs="仿宋_GB2312"/>
          <w:b w:val="0"/>
          <w:bCs w:val="0"/>
          <w:color w:val="0C0C0C"/>
          <w:kern w:val="0"/>
          <w:sz w:val="32"/>
          <w:szCs w:val="32"/>
          <w:lang w:val="en-US" w:eastAsia="zh-CN" w:bidi="ar-SA"/>
        </w:rPr>
        <w:t>二是以教育引领为基础，不断增添创新创业措施。截至目前，</w:t>
      </w:r>
      <w:r>
        <w:rPr>
          <w:rFonts w:hint="eastAsia" w:ascii="仿宋_GB2312" w:hAnsi="仿宋_GB2312" w:eastAsia="仿宋_GB2312" w:cs="仿宋_GB2312"/>
          <w:b w:val="0"/>
          <w:bCs w:val="0"/>
          <w:color w:val="0C0C0C"/>
          <w:kern w:val="0"/>
          <w:sz w:val="32"/>
          <w:szCs w:val="32"/>
          <w:lang w:val="en-US" w:eastAsia="zh-Hans" w:bidi="ar-SA"/>
        </w:rPr>
        <w:t>我校</w:t>
      </w:r>
      <w:r>
        <w:rPr>
          <w:rFonts w:hint="eastAsia" w:ascii="仿宋_GB2312" w:hAnsi="仿宋_GB2312" w:eastAsia="仿宋_GB2312" w:cs="仿宋_GB2312"/>
          <w:b w:val="0"/>
          <w:bCs w:val="0"/>
          <w:color w:val="0C0C0C"/>
          <w:kern w:val="0"/>
          <w:sz w:val="32"/>
          <w:szCs w:val="32"/>
          <w:lang w:val="en-US" w:eastAsia="zh-CN" w:bidi="ar-SA"/>
        </w:rPr>
        <w:t>已经对2021级毕业学生，2020级、2019级在校学生进行了SYB创业全员培训，</w:t>
      </w:r>
      <w:r>
        <w:rPr>
          <w:rFonts w:hint="eastAsia" w:ascii="仿宋_GB2312" w:hAnsi="仿宋_GB2312" w:eastAsia="仿宋_GB2312" w:cs="仿宋_GB2312"/>
          <w:b w:val="0"/>
          <w:bCs w:val="0"/>
          <w:color w:val="0C0C0C"/>
          <w:kern w:val="0"/>
          <w:sz w:val="32"/>
          <w:szCs w:val="32"/>
          <w:lang w:val="en-US" w:eastAsia="zh-Hans" w:bidi="ar-SA"/>
        </w:rPr>
        <w:t>鹰潭</w:t>
      </w:r>
      <w:r>
        <w:rPr>
          <w:rFonts w:hint="eastAsia" w:ascii="仿宋_GB2312" w:hAnsi="仿宋_GB2312" w:eastAsia="仿宋_GB2312" w:cs="仿宋_GB2312"/>
          <w:b w:val="0"/>
          <w:bCs w:val="0"/>
          <w:color w:val="0C0C0C"/>
          <w:kern w:val="0"/>
          <w:sz w:val="32"/>
          <w:szCs w:val="32"/>
          <w:lang w:val="en-US" w:eastAsia="zh-CN" w:bidi="ar-SA"/>
        </w:rPr>
        <w:t>市创新创业成功人士进驻校园以身说教，鼓励和引导学生积极开展创新创业实战，在校内有学生自主建立网店。同时，实习学生还积极组成联盟小组，以小组为单位，参加社会各行各业创业活动，</w:t>
      </w:r>
      <w:r>
        <w:rPr>
          <w:rFonts w:hint="eastAsia" w:ascii="仿宋_GB2312" w:hAnsi="仿宋_GB2312" w:eastAsia="仿宋_GB2312" w:cs="仿宋_GB2312"/>
          <w:b w:val="0"/>
          <w:bCs w:val="0"/>
          <w:color w:val="0C0C0C"/>
          <w:kern w:val="0"/>
          <w:sz w:val="32"/>
          <w:szCs w:val="32"/>
          <w:lang w:val="en-US" w:eastAsia="zh-Hans" w:bidi="ar-SA"/>
        </w:rPr>
        <w:t>各学部</w:t>
      </w:r>
      <w:r>
        <w:rPr>
          <w:rFonts w:hint="eastAsia" w:ascii="仿宋_GB2312" w:hAnsi="仿宋_GB2312" w:eastAsia="仿宋_GB2312" w:cs="仿宋_GB2312"/>
          <w:b w:val="0"/>
          <w:bCs w:val="0"/>
          <w:color w:val="0C0C0C"/>
          <w:kern w:val="0"/>
          <w:sz w:val="32"/>
          <w:szCs w:val="32"/>
          <w:lang w:val="en-US" w:eastAsia="zh-CN" w:bidi="ar-SA"/>
        </w:rPr>
        <w:t>安排相关老师进行指导，以进一步加强学生适应社会的能力。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jc w:val="left"/>
        <w:rPr>
          <w:rFonts w:hint="eastAsia" w:ascii="仿宋_GB2312" w:hAnsi="仿宋_GB2312" w:eastAsia="仿宋_GB2312" w:cs="仿宋_GB2312"/>
          <w:b w:val="0"/>
          <w:bCs w:val="0"/>
          <w:color w:val="0C0C0C"/>
          <w:kern w:val="0"/>
          <w:sz w:val="32"/>
          <w:szCs w:val="32"/>
          <w:lang w:val="en-US" w:eastAsia="zh-CN" w:bidi="ar-SA"/>
        </w:rPr>
      </w:pPr>
      <w:r>
        <w:rPr>
          <w:rFonts w:hint="eastAsia" w:ascii="仿宋" w:hAnsi="仿宋" w:eastAsia="仿宋" w:cs="仿宋"/>
          <w:b w:val="0"/>
          <w:bCs w:val="0"/>
          <w:i w:val="0"/>
          <w:iCs w:val="0"/>
          <w:caps w:val="0"/>
          <w:color w:val="333333"/>
          <w:spacing w:val="0"/>
          <w:sz w:val="32"/>
          <w:szCs w:val="32"/>
          <w:u w:val="none"/>
        </w:rPr>
        <w:t>　　</w:t>
      </w:r>
      <w:bookmarkStart w:id="32" w:name="_Toc11150"/>
      <w:bookmarkStart w:id="33" w:name="_Toc15028"/>
      <w:bookmarkStart w:id="34" w:name="_Toc15652"/>
      <w:bookmarkStart w:id="35" w:name="_Toc26240"/>
      <w:r>
        <w:rPr>
          <w:rFonts w:hint="eastAsia" w:ascii="仿宋_GB2312" w:hAnsi="仿宋_GB2312" w:eastAsia="仿宋_GB2312" w:cs="仿宋_GB2312"/>
          <w:b w:val="0"/>
          <w:bCs w:val="0"/>
          <w:color w:val="0C0C0C"/>
          <w:kern w:val="0"/>
          <w:sz w:val="32"/>
          <w:szCs w:val="32"/>
          <w:lang w:val="en-US" w:eastAsia="zh-CN" w:bidi="ar-SA"/>
        </w:rPr>
        <w:t>三是优化项目设置，提高学生创新创业能力。在项目选择上，学</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以适应社会需求为目标，培养新型的各类技术人才。以专业为导向，以具体工作为出发点，优先让学生自主参加与专业相关的工作。对</w:t>
      </w:r>
      <w:r>
        <w:rPr>
          <w:rFonts w:hint="eastAsia" w:ascii="仿宋_GB2312" w:hAnsi="仿宋_GB2312" w:eastAsia="仿宋_GB2312" w:cs="仿宋_GB2312"/>
          <w:b w:val="0"/>
          <w:bCs w:val="0"/>
          <w:color w:val="0C0C0C"/>
          <w:kern w:val="0"/>
          <w:sz w:val="32"/>
          <w:szCs w:val="32"/>
          <w:lang w:val="en-US" w:eastAsia="zh-Hans" w:bidi="ar-SA"/>
        </w:rPr>
        <w:t>幼儿教育</w:t>
      </w:r>
      <w:r>
        <w:rPr>
          <w:rFonts w:hint="eastAsia" w:ascii="仿宋_GB2312" w:hAnsi="仿宋_GB2312" w:eastAsia="仿宋_GB2312" w:cs="仿宋_GB2312"/>
          <w:b w:val="0"/>
          <w:bCs w:val="0"/>
          <w:color w:val="0C0C0C"/>
          <w:kern w:val="0"/>
          <w:sz w:val="32"/>
          <w:szCs w:val="32"/>
          <w:lang w:val="en-US" w:eastAsia="zh-CN" w:bidi="ar-SA"/>
        </w:rPr>
        <w:t>、</w:t>
      </w:r>
      <w:r>
        <w:rPr>
          <w:rFonts w:hint="eastAsia" w:ascii="仿宋_GB2312" w:hAnsi="仿宋_GB2312" w:eastAsia="仿宋_GB2312" w:cs="仿宋_GB2312"/>
          <w:b w:val="0"/>
          <w:bCs w:val="0"/>
          <w:color w:val="0C0C0C"/>
          <w:kern w:val="0"/>
          <w:sz w:val="32"/>
          <w:szCs w:val="32"/>
          <w:lang w:val="en-US" w:eastAsia="zh-Hans" w:bidi="ar-SA"/>
        </w:rPr>
        <w:t>电子商务</w:t>
      </w:r>
      <w:r>
        <w:rPr>
          <w:rFonts w:hint="eastAsia" w:ascii="仿宋_GB2312" w:hAnsi="仿宋_GB2312" w:eastAsia="仿宋_GB2312" w:cs="仿宋_GB2312"/>
          <w:b w:val="0"/>
          <w:bCs w:val="0"/>
          <w:color w:val="0C0C0C"/>
          <w:kern w:val="0"/>
          <w:sz w:val="32"/>
          <w:szCs w:val="32"/>
          <w:lang w:val="en-US" w:eastAsia="zh-CN" w:bidi="ar-SA"/>
        </w:rPr>
        <w:t>、机电一体化技术等就业情况良好的学生，我们积极指导、引导其创新创业;对其他专业的学生以就业为先，创新创业为辅，不断拓展与专业相关的各类创新创业工作。</w:t>
      </w:r>
      <w:bookmarkEnd w:id="32"/>
      <w:bookmarkEnd w:id="33"/>
      <w:bookmarkEnd w:id="34"/>
      <w:bookmarkEnd w:id="35"/>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40" w:firstLineChars="200"/>
        <w:jc w:val="left"/>
        <w:rPr>
          <w:rFonts w:hint="eastAsia" w:ascii="仿宋_GB2312" w:hAnsi="仿宋_GB2312" w:eastAsia="仿宋_GB2312" w:cs="仿宋_GB2312"/>
          <w:b w:val="0"/>
          <w:bCs w:val="0"/>
          <w:color w:val="0C0C0C"/>
          <w:kern w:val="0"/>
          <w:sz w:val="32"/>
          <w:szCs w:val="32"/>
          <w:lang w:val="en-US" w:eastAsia="zh-CN" w:bidi="ar-SA"/>
        </w:rPr>
      </w:pPr>
      <w:bookmarkStart w:id="36" w:name="_Toc18829"/>
      <w:bookmarkStart w:id="37" w:name="_Toc2906"/>
      <w:bookmarkStart w:id="38" w:name="_Toc15313"/>
      <w:bookmarkStart w:id="39" w:name="_Toc26323"/>
      <w:r>
        <w:rPr>
          <w:rFonts w:hint="eastAsia" w:ascii="仿宋_GB2312" w:hAnsi="仿宋_GB2312" w:eastAsia="仿宋_GB2312" w:cs="仿宋_GB2312"/>
          <w:b w:val="0"/>
          <w:bCs w:val="0"/>
          <w:color w:val="0C0C0C"/>
          <w:kern w:val="0"/>
          <w:sz w:val="32"/>
          <w:szCs w:val="32"/>
          <w:lang w:val="en-US" w:eastAsia="zh-CN" w:bidi="ar-SA"/>
        </w:rPr>
        <w:t>四是积极打通科技成果转化通道，让大学生创新活力不断释放。学</w:t>
      </w:r>
      <w:r>
        <w:rPr>
          <w:rFonts w:hint="eastAsia" w:ascii="仿宋_GB2312" w:hAnsi="仿宋_GB2312" w:eastAsia="仿宋_GB2312" w:cs="仿宋_GB2312"/>
          <w:b w:val="0"/>
          <w:bCs w:val="0"/>
          <w:color w:val="0C0C0C"/>
          <w:kern w:val="0"/>
          <w:sz w:val="32"/>
          <w:szCs w:val="32"/>
          <w:lang w:val="en-US" w:eastAsia="zh-Hans" w:bidi="ar-SA"/>
        </w:rPr>
        <w:t>校</w:t>
      </w:r>
      <w:r>
        <w:rPr>
          <w:rFonts w:hint="eastAsia" w:ascii="仿宋_GB2312" w:hAnsi="仿宋_GB2312" w:eastAsia="仿宋_GB2312" w:cs="仿宋_GB2312"/>
          <w:b w:val="0"/>
          <w:bCs w:val="0"/>
          <w:color w:val="0C0C0C"/>
          <w:kern w:val="0"/>
          <w:sz w:val="32"/>
          <w:szCs w:val="32"/>
          <w:lang w:val="en-US" w:eastAsia="zh-CN" w:bidi="ar-SA"/>
        </w:rPr>
        <w:t>积极加快新兴科技产业发展，并规划将其培育成主导产业;推进大学生就业创业“互联网化”发展，特别是“互联网+”行动计划的制定和实施，使学生就业创业工</w:t>
      </w:r>
      <w:r>
        <w:rPr>
          <w:rFonts w:hint="eastAsia" w:ascii="仿宋" w:hAnsi="仿宋" w:eastAsia="仿宋" w:cs="仿宋"/>
          <w:b w:val="0"/>
          <w:bCs w:val="0"/>
          <w:i w:val="0"/>
          <w:iCs w:val="0"/>
          <w:caps w:val="0"/>
          <w:color w:val="333333"/>
          <w:spacing w:val="0"/>
          <w:sz w:val="32"/>
          <w:szCs w:val="32"/>
          <w:u w:val="none"/>
        </w:rPr>
        <w:t>作与现</w:t>
      </w:r>
      <w:r>
        <w:rPr>
          <w:rFonts w:hint="eastAsia" w:ascii="仿宋_GB2312" w:hAnsi="仿宋_GB2312" w:eastAsia="仿宋_GB2312" w:cs="仿宋_GB2312"/>
          <w:b w:val="0"/>
          <w:bCs w:val="0"/>
          <w:color w:val="0C0C0C"/>
          <w:kern w:val="0"/>
          <w:sz w:val="32"/>
          <w:szCs w:val="32"/>
          <w:lang w:val="en-US" w:eastAsia="zh-CN" w:bidi="ar-SA"/>
        </w:rPr>
        <w:t>代制造业、服务业结合更加紧密。通过以点集线，线线相连成面，营造了学生创新创业的浓郁氛围。</w:t>
      </w:r>
      <w:bookmarkEnd w:id="36"/>
      <w:bookmarkEnd w:id="37"/>
      <w:bookmarkEnd w:id="38"/>
      <w:bookmarkEnd w:id="39"/>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40" w:firstLineChars="200"/>
        <w:jc w:val="left"/>
        <w:rPr>
          <w:rFonts w:hint="eastAsia" w:ascii="仿宋_GB2312" w:hAnsi="仿宋_GB2312" w:eastAsia="仿宋_GB2312" w:cs="仿宋_GB2312"/>
          <w:b w:val="0"/>
          <w:bCs w:val="0"/>
          <w:color w:val="0C0C0C"/>
          <w:kern w:val="0"/>
          <w:sz w:val="32"/>
          <w:szCs w:val="32"/>
          <w:lang w:val="en-US" w:eastAsia="zh-CN" w:bidi="ar-SA"/>
        </w:rPr>
      </w:pPr>
      <w:bookmarkStart w:id="40" w:name="_Toc26464"/>
      <w:bookmarkStart w:id="41" w:name="_Toc15856"/>
      <w:bookmarkStart w:id="42" w:name="_Toc22104"/>
      <w:bookmarkStart w:id="43" w:name="_Toc25238"/>
      <w:r>
        <w:rPr>
          <w:rFonts w:hint="eastAsia" w:ascii="仿宋_GB2312" w:hAnsi="仿宋_GB2312" w:eastAsia="仿宋_GB2312" w:cs="仿宋_GB2312"/>
          <w:b w:val="0"/>
          <w:bCs w:val="0"/>
          <w:color w:val="0C0C0C"/>
          <w:kern w:val="0"/>
          <w:sz w:val="32"/>
          <w:szCs w:val="32"/>
          <w:lang w:val="en-US" w:eastAsia="zh-CN" w:bidi="ar-SA"/>
        </w:rPr>
        <w:t>下一步我们将攻坚克难，抢抓机遇，开拓进取，积极探索</w:t>
      </w:r>
      <w:r>
        <w:rPr>
          <w:rFonts w:hint="eastAsia" w:ascii="仿宋_GB2312" w:hAnsi="仿宋_GB2312" w:eastAsia="仿宋_GB2312" w:cs="仿宋_GB2312"/>
          <w:b w:val="0"/>
          <w:bCs w:val="0"/>
          <w:color w:val="0C0C0C"/>
          <w:kern w:val="0"/>
          <w:sz w:val="32"/>
          <w:szCs w:val="32"/>
          <w:lang w:val="en-US" w:eastAsia="zh-Hans" w:bidi="ar-SA"/>
        </w:rPr>
        <w:t>中职</w:t>
      </w:r>
      <w:r>
        <w:rPr>
          <w:rFonts w:hint="eastAsia" w:ascii="仿宋_GB2312" w:hAnsi="仿宋_GB2312" w:eastAsia="仿宋_GB2312" w:cs="仿宋_GB2312"/>
          <w:b w:val="0"/>
          <w:bCs w:val="0"/>
          <w:color w:val="0C0C0C"/>
          <w:kern w:val="0"/>
          <w:sz w:val="32"/>
          <w:szCs w:val="32"/>
          <w:lang w:val="en-US" w:eastAsia="zh-CN" w:bidi="ar-SA"/>
        </w:rPr>
        <w:t>学生创新创业路径，扎实推进学生就业创业工作取得实效。</w:t>
      </w:r>
      <w:bookmarkEnd w:id="40"/>
      <w:bookmarkEnd w:id="41"/>
      <w:bookmarkEnd w:id="42"/>
      <w:bookmarkEnd w:id="43"/>
    </w:p>
    <w:p>
      <w:pPr>
        <w:rPr>
          <w:rFonts w:hint="eastAsia"/>
          <w:lang w:val="en-US" w:eastAsia="zh-CN"/>
        </w:rPr>
      </w:pPr>
      <w:r>
        <w:drawing>
          <wp:inline distT="0" distB="0" distL="114300" distR="114300">
            <wp:extent cx="5266690" cy="2523490"/>
            <wp:effectExtent l="0" t="0" r="10160" b="101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3"/>
                    <a:stretch>
                      <a:fillRect/>
                    </a:stretch>
                  </pic:blipFill>
                  <pic:spPr>
                    <a:xfrm>
                      <a:off x="0" y="0"/>
                      <a:ext cx="5266690" cy="2523490"/>
                    </a:xfrm>
                    <a:prstGeom prst="rect">
                      <a:avLst/>
                    </a:prstGeom>
                    <a:noFill/>
                    <a:ln>
                      <a:noFill/>
                    </a:ln>
                  </pic:spPr>
                </pic:pic>
              </a:graphicData>
            </a:graphic>
          </wp:inline>
        </w:drawing>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44" w:name="_Toc542"/>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2.6技能大赛</w:t>
      </w:r>
      <w:bookmarkEnd w:id="44"/>
    </w:p>
    <w:p>
      <w:pPr>
        <w:pStyle w:val="14"/>
        <w:spacing w:line="600" w:lineRule="exact"/>
        <w:ind w:firstLine="640" w:firstLineChars="200"/>
        <w:jc w:val="both"/>
        <w:rPr>
          <w:rFonts w:hint="eastAsia"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rPr>
        <w:t>学校高度重视学生技能竞赛</w:t>
      </w:r>
      <w:r>
        <w:rPr>
          <w:rFonts w:hint="eastAsia" w:ascii="仿宋_GB2312" w:hAnsi="仿宋_GB2312" w:eastAsia="仿宋_GB2312" w:cs="仿宋_GB2312"/>
          <w:color w:val="0C0C0C"/>
          <w:sz w:val="32"/>
          <w:szCs w:val="32"/>
          <w:lang w:eastAsia="zh-CN"/>
        </w:rPr>
        <w:t>，坚持“以赛促教、以赛促学、以赛促练、以赛促改”，培育技术技能型人才</w:t>
      </w:r>
      <w:r>
        <w:rPr>
          <w:rFonts w:hint="eastAsia" w:ascii="仿宋_GB2312" w:hAnsi="仿宋_GB2312" w:eastAsia="仿宋_GB2312" w:cs="仿宋_GB2312"/>
          <w:color w:val="0C0C0C"/>
          <w:sz w:val="32"/>
          <w:szCs w:val="32"/>
        </w:rPr>
        <w:t>。 202</w:t>
      </w:r>
      <w:r>
        <w:rPr>
          <w:rFonts w:hint="eastAsia" w:ascii="仿宋_GB2312" w:hAnsi="仿宋_GB2312" w:eastAsia="仿宋_GB2312" w:cs="仿宋_GB2312"/>
          <w:color w:val="0C0C0C"/>
          <w:sz w:val="32"/>
          <w:szCs w:val="32"/>
          <w:lang w:val="en-US" w:eastAsia="zh-CN"/>
        </w:rPr>
        <w:t>1</w:t>
      </w:r>
      <w:r>
        <w:rPr>
          <w:rFonts w:hint="eastAsia" w:ascii="仿宋_GB2312" w:hAnsi="仿宋_GB2312" w:eastAsia="仿宋_GB2312" w:cs="仿宋_GB2312"/>
          <w:color w:val="0C0C0C"/>
          <w:sz w:val="32"/>
          <w:szCs w:val="32"/>
        </w:rPr>
        <w:t>-202</w:t>
      </w:r>
      <w:r>
        <w:rPr>
          <w:rFonts w:hint="eastAsia" w:ascii="仿宋_GB2312" w:hAnsi="仿宋_GB2312" w:eastAsia="仿宋_GB2312" w:cs="仿宋_GB2312"/>
          <w:color w:val="0C0C0C"/>
          <w:sz w:val="32"/>
          <w:szCs w:val="32"/>
          <w:lang w:val="en-US" w:eastAsia="zh-CN"/>
        </w:rPr>
        <w:t>2</w:t>
      </w:r>
      <w:r>
        <w:rPr>
          <w:rFonts w:hint="eastAsia" w:ascii="仿宋_GB2312" w:hAnsi="仿宋_GB2312" w:eastAsia="仿宋_GB2312" w:cs="仿宋_GB2312"/>
          <w:color w:val="0C0C0C"/>
          <w:sz w:val="32"/>
          <w:szCs w:val="32"/>
        </w:rPr>
        <w:t>学年我校积极组织广大学生参加各级各类技能比赛，</w:t>
      </w:r>
      <w:r>
        <w:rPr>
          <w:rFonts w:hint="eastAsia" w:ascii="仿宋_GB2312" w:hAnsi="仿宋_GB2312" w:eastAsia="仿宋_GB2312" w:cs="仿宋_GB2312"/>
          <w:color w:val="0C0C0C"/>
          <w:sz w:val="32"/>
          <w:szCs w:val="32"/>
          <w:lang w:val="en-US" w:eastAsia="zh-CN"/>
        </w:rPr>
        <w:t>其中</w:t>
      </w:r>
      <w:r>
        <w:rPr>
          <w:rFonts w:hint="eastAsia" w:ascii="仿宋_GB2312" w:hAnsi="仿宋_GB2312" w:eastAsia="仿宋_GB2312" w:cs="仿宋_GB2312"/>
          <w:color w:val="0C0C0C"/>
          <w:sz w:val="32"/>
          <w:szCs w:val="32"/>
        </w:rPr>
        <w:t>获得</w:t>
      </w:r>
      <w:r>
        <w:rPr>
          <w:rFonts w:hint="eastAsia" w:ascii="仿宋_GB2312" w:hAnsi="仿宋_GB2312" w:eastAsia="仿宋_GB2312" w:cs="仿宋_GB2312"/>
          <w:color w:val="0C0C0C"/>
          <w:sz w:val="32"/>
          <w:szCs w:val="32"/>
          <w:lang w:val="en-US" w:eastAsia="zh-CN"/>
        </w:rPr>
        <w:t>市级奖项76个</w:t>
      </w:r>
      <w:r>
        <w:rPr>
          <w:rFonts w:hint="eastAsia" w:ascii="仿宋_GB2312" w:hAnsi="仿宋_GB2312" w:eastAsia="仿宋_GB2312" w:cs="仿宋_GB2312"/>
          <w:color w:val="0C0C0C"/>
          <w:sz w:val="32"/>
          <w:szCs w:val="32"/>
          <w:lang w:eastAsia="zh-CN"/>
        </w:rPr>
        <w:t>，</w:t>
      </w:r>
      <w:r>
        <w:rPr>
          <w:rFonts w:hint="eastAsia" w:ascii="仿宋_GB2312" w:hAnsi="仿宋_GB2312" w:eastAsia="仿宋_GB2312" w:cs="仿宋_GB2312"/>
          <w:color w:val="0C0C0C"/>
          <w:sz w:val="32"/>
          <w:szCs w:val="32"/>
          <w:lang w:val="en-US" w:eastAsia="zh-CN"/>
        </w:rPr>
        <w:t>省级奖项9个，</w:t>
      </w:r>
      <w:r>
        <w:rPr>
          <w:rFonts w:hint="eastAsia" w:ascii="仿宋_GB2312" w:hAnsi="仿宋_GB2312" w:eastAsia="仿宋_GB2312" w:cs="仿宋_GB2312"/>
          <w:color w:val="0C0C0C"/>
          <w:sz w:val="32"/>
          <w:szCs w:val="32"/>
        </w:rPr>
        <w:t>具体奖项情况如下表。</w:t>
      </w:r>
    </w:p>
    <w:p>
      <w:pPr>
        <w:spacing w:line="221" w:lineRule="auto"/>
        <w:jc w:val="cente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表2 鹰潭应用工程学校 2020-2021 学年度学生获奖情况一览表</w:t>
      </w:r>
    </w:p>
    <w:tbl>
      <w:tblPr>
        <w:tblStyle w:val="15"/>
        <w:tblW w:w="8017" w:type="dxa"/>
        <w:tblInd w:w="91" w:type="dxa"/>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Layout w:type="fixed"/>
        <w:tblCellMar>
          <w:top w:w="0" w:type="dxa"/>
          <w:left w:w="108" w:type="dxa"/>
          <w:bottom w:w="0" w:type="dxa"/>
          <w:right w:w="108" w:type="dxa"/>
        </w:tblCellMar>
      </w:tblPr>
      <w:tblGrid>
        <w:gridCol w:w="568"/>
        <w:gridCol w:w="2123"/>
        <w:gridCol w:w="736"/>
        <w:gridCol w:w="1141"/>
        <w:gridCol w:w="954"/>
        <w:gridCol w:w="996"/>
        <w:gridCol w:w="1499"/>
      </w:tblGrid>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tblCellMar>
            <w:top w:w="0" w:type="dxa"/>
            <w:left w:w="108" w:type="dxa"/>
            <w:bottom w:w="0" w:type="dxa"/>
            <w:right w:w="108" w:type="dxa"/>
          </w:tblCellMar>
        </w:tblPrEx>
        <w:trPr>
          <w:trHeight w:val="23" w:hRule="atLeast"/>
          <w:tblHeader/>
        </w:trPr>
        <w:tc>
          <w:tcPr>
            <w:tcW w:w="568" w:type="dxa"/>
            <w:tcBorders>
              <w:tl2br w:val="nil"/>
              <w:tr2bl w:val="nil"/>
            </w:tcBorders>
            <w:shd w:val="clear" w:color="4F81BD" w:fill="4F81BD"/>
            <w:noWrap/>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序号</w:t>
            </w:r>
          </w:p>
        </w:tc>
        <w:tc>
          <w:tcPr>
            <w:tcW w:w="2123" w:type="dxa"/>
            <w:tcBorders>
              <w:tl2br w:val="nil"/>
              <w:tr2bl w:val="nil"/>
            </w:tcBorders>
            <w:shd w:val="clear" w:color="4F81BD" w:fill="4F81BD"/>
            <w:noWrap/>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获奖名称</w:t>
            </w:r>
          </w:p>
        </w:tc>
        <w:tc>
          <w:tcPr>
            <w:tcW w:w="736" w:type="dxa"/>
            <w:tcBorders>
              <w:tl2br w:val="nil"/>
              <w:tr2bl w:val="nil"/>
            </w:tcBorders>
            <w:shd w:val="clear" w:color="4F81BD" w:fill="4F81BD"/>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获奖级别</w:t>
            </w:r>
          </w:p>
        </w:tc>
        <w:tc>
          <w:tcPr>
            <w:tcW w:w="1141" w:type="dxa"/>
            <w:tcBorders>
              <w:tl2br w:val="nil"/>
              <w:tr2bl w:val="nil"/>
            </w:tcBorders>
            <w:shd w:val="clear" w:color="4F81BD" w:fill="4F81BD"/>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获奖学生</w:t>
            </w:r>
          </w:p>
        </w:tc>
        <w:tc>
          <w:tcPr>
            <w:tcW w:w="954" w:type="dxa"/>
            <w:tcBorders>
              <w:tl2br w:val="nil"/>
              <w:tr2bl w:val="nil"/>
            </w:tcBorders>
            <w:shd w:val="clear" w:color="4F81BD" w:fill="4F81BD"/>
            <w:noWrap/>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奖项</w:t>
            </w:r>
          </w:p>
        </w:tc>
        <w:tc>
          <w:tcPr>
            <w:tcW w:w="996" w:type="dxa"/>
            <w:tcBorders>
              <w:tl2br w:val="nil"/>
              <w:tr2bl w:val="nil"/>
            </w:tcBorders>
            <w:shd w:val="clear" w:color="4F81BD" w:fill="4F81BD"/>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18"/>
                <w:szCs w:val="18"/>
                <w:u w:val="none"/>
              </w:rPr>
            </w:pPr>
            <w:r>
              <w:rPr>
                <w:rFonts w:hint="eastAsia" w:ascii="宋体" w:hAnsi="宋体" w:eastAsia="宋体" w:cs="宋体"/>
                <w:b/>
                <w:bCs/>
                <w:i w:val="0"/>
                <w:iCs w:val="0"/>
                <w:color w:val="FFFFFF"/>
                <w:kern w:val="0"/>
                <w:sz w:val="18"/>
                <w:szCs w:val="18"/>
                <w:u w:val="none"/>
                <w:lang w:val="en-US" w:eastAsia="zh-CN" w:bidi="ar"/>
              </w:rPr>
              <w:t>指导老师</w:t>
            </w:r>
          </w:p>
        </w:tc>
        <w:tc>
          <w:tcPr>
            <w:tcW w:w="1499" w:type="dxa"/>
            <w:tcBorders>
              <w:tl2br w:val="nil"/>
              <w:tr2bl w:val="nil"/>
            </w:tcBorders>
            <w:shd w:val="clear" w:color="4F81BD" w:fill="4F81BD"/>
            <w:noWrap/>
            <w:vAlign w:val="center"/>
          </w:tcPr>
          <w:p>
            <w:pPr>
              <w:keepNext w:val="0"/>
              <w:keepLines w:val="0"/>
              <w:widowControl/>
              <w:suppressLineNumbers w:val="0"/>
              <w:jc w:val="center"/>
              <w:textAlignment w:val="center"/>
              <w:rPr>
                <w:rFonts w:hint="eastAsia" w:ascii="宋体" w:hAnsi="宋体" w:eastAsia="宋体" w:cs="宋体"/>
                <w:b/>
                <w:bCs/>
                <w:i w:val="0"/>
                <w:iCs w:val="0"/>
                <w:color w:val="FFFFFF"/>
                <w:sz w:val="22"/>
                <w:szCs w:val="22"/>
                <w:u w:val="none"/>
              </w:rPr>
            </w:pPr>
            <w:r>
              <w:rPr>
                <w:rFonts w:hint="eastAsia" w:ascii="宋体" w:hAnsi="宋体" w:eastAsia="宋体" w:cs="宋体"/>
                <w:b/>
                <w:bCs/>
                <w:i w:val="0"/>
                <w:iCs w:val="0"/>
                <w:color w:val="FFFFFF"/>
                <w:kern w:val="0"/>
                <w:sz w:val="22"/>
                <w:szCs w:val="22"/>
                <w:u w:val="none"/>
                <w:lang w:val="en-US" w:eastAsia="zh-CN" w:bidi="ar"/>
              </w:rPr>
              <w:t>获奖时间</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吴邦华  刘善福</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姚依依 薛超阳</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周小兰  毛佩怡</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高薇  王鲁萍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陆丹</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宋萍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熊子俊</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叶子豪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曾文杰</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叶子豪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江昊</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汤何海</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罗玲</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巫佩锦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黄佳琪  王依琳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倪佳慧 付恬</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李娜    华昕玥</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朱光贤 谢思思</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李德文</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刘明珠</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桂宝仪</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刘志太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吴含芝</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占华帮</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周聪辉</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张宇晴  祝天浚</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柴嘉韵  王美琦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费德祖  胡宝玲</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薛超阳 徐优权</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殷青怡  舒希晶</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高薇  王鲁萍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何永安</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宋萍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刘群</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刘爱玲</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孙梓明</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汤何海</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黄睿奕</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吴超</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罗玲  潘原英</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罗玲</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巫佩锦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查晨    陈蕾</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倪佳慧  付恬</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杨彩莹  项佳聪</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付恬  孙梦颖</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张羽洁  杨悦</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朱光贤 谢思思</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胡志刚</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杨帆</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艾曾</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蔡曾崴</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刘志太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黄如薇</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黄若阳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李平世</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邹翊</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徐弋峰</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周聪辉</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吴家豪</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蒋小心</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谢江川  姜慧玲</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柴嘉韵 韩月</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祝俊炎  章文慧</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钱百惠 童慧敏</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程康 洪辉</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钱百惠 倪佳慧</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邓欲欣  熊梦雅</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高薇  王鲁萍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杨浩    刘智敏</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高薇  王鲁萍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徐鑫娜</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宋萍</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黄涛</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杨旋</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温耀彬</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钟倩文</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徐慧思</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吴超</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姚龙平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吴超</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雷霆均</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钟倩文</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孔勇明</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钟倩文</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杨子尧</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钟倩文</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谢思思</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巫佩锦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巫佩锦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周子凌 许梦贞</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巫佩锦</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团队舞蹈</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谢思思</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彭依萍  曹金晶</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朱光贤 谢思思</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黄子喧  彭玉茹</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张楠</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周依媚  徐丽雯</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倪佳慧 付恬</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段鑫琪  林颖</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张楠</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鲁坤</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王健</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姜润平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陈翀</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洪文彪</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陈佳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刘志太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万茜</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黎嘉琳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骆蓉庆</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刘志太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胡莎</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雷青青</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喻创文</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曾芸</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徐志梦</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马春喜</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刘忆欣</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俞超明</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桂金珍</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李雪丽</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孙孝俊</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许钢碧</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张志强</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许钢碧</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2022年鹰潭市新时代第三届中等职业学校技能大赛</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徐波</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许钢碧</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2022年5月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77</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 年江西省职业院校技能大赛中职组跨境电子商务</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费德祖  姜慧玲   谢江川</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陈翀   朱钰婷</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2022年12月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78</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 江西省职业院校技能大赛（中职组）跨境电子商务项目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周敏    吴小威   桂丽莎</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刘苏敏   倪志鑫</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2022年12月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79</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2022年江西省职业院校技能大赛（中职组）幼儿保育项目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王依琳  黄佳琪</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倪佳慧 付恬</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2022年12月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80</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2022年江西省职业院校技能大赛（中职组）平面设计项目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许梅意</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王美琦 黄乐</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2022年12月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81</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2022年江西省职业院校技能大赛（中职组）汽车机电维修项目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徐弋峰</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蒋小心</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2022年11月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82</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2022年江西省职业院校技能大赛（中职组）单片机控制装置安装与调试项目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李德文</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二等奖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杨斌</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2022年11月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83</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2022年江西省职业院校技能大赛（中职组）单片机控制装置安装与调试项目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姜润平</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杨斌</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2022年11月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84</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2022年江西省职业院校技能大赛（中职组）信息技术类数字影音后期制作技术项目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曾文杰</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叶子豪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2022年10月</w:t>
            </w:r>
          </w:p>
        </w:tc>
      </w:tr>
      <w:tr>
        <w:tblPrEx>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shd w:val="clear" w:color="auto" w:fill="auto"/>
          <w:tblCellMar>
            <w:top w:w="0" w:type="dxa"/>
            <w:left w:w="108" w:type="dxa"/>
            <w:bottom w:w="0" w:type="dxa"/>
            <w:right w:w="108" w:type="dxa"/>
          </w:tblCellMar>
        </w:tblPrEx>
        <w:trPr>
          <w:trHeight w:val="23" w:hRule="atLeast"/>
        </w:trPr>
        <w:tc>
          <w:tcPr>
            <w:tcW w:w="568" w:type="dxa"/>
            <w:tcBorders>
              <w:tl2br w:val="nil"/>
              <w:tr2bl w:val="nil"/>
            </w:tcBorders>
            <w:shd w:val="clear" w:color="auto" w:fill="BDD6EE" w:themeFill="accent1" w:themeFillTint="66"/>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85</w:t>
            </w:r>
          </w:p>
        </w:tc>
        <w:tc>
          <w:tcPr>
            <w:tcW w:w="212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2022年江西省职业院校技能大赛（中职组）信息技术类数字影音后期制作技术项目</w:t>
            </w:r>
          </w:p>
        </w:tc>
        <w:tc>
          <w:tcPr>
            <w:tcW w:w="73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省级</w:t>
            </w:r>
          </w:p>
        </w:tc>
        <w:tc>
          <w:tcPr>
            <w:tcW w:w="114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熊子俊</w:t>
            </w:r>
          </w:p>
        </w:tc>
        <w:tc>
          <w:tcPr>
            <w:tcW w:w="954"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三等奖</w:t>
            </w:r>
          </w:p>
        </w:tc>
        <w:tc>
          <w:tcPr>
            <w:tcW w:w="99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叶子豪</w:t>
            </w:r>
          </w:p>
        </w:tc>
        <w:tc>
          <w:tcPr>
            <w:tcW w:w="1499"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2022年10月</w:t>
            </w:r>
          </w:p>
        </w:tc>
      </w:tr>
    </w:tbl>
    <w:p>
      <w:pPr>
        <w:pStyle w:val="14"/>
        <w:spacing w:line="600" w:lineRule="exact"/>
        <w:jc w:val="both"/>
        <w:outlineLvl w:val="0"/>
        <w:rPr>
          <w:rFonts w:hint="default" w:ascii="黑体" w:hAnsi="黑体" w:eastAsia="黑体" w:cs="黑体"/>
          <w:b/>
          <w:bCs/>
          <w:color w:val="000000"/>
          <w:spacing w:val="0"/>
          <w:w w:val="100"/>
          <w:kern w:val="2"/>
          <w:position w:val="0"/>
          <w:sz w:val="32"/>
          <w:szCs w:val="32"/>
          <w:u w:val="none"/>
          <w:shd w:val="clear" w:color="auto" w:fill="auto"/>
          <w:lang w:val="en-US" w:eastAsia="zh-CN" w:bidi="zh-TW"/>
        </w:rPr>
      </w:pPr>
      <w:bookmarkStart w:id="45" w:name="_Toc23830"/>
      <w:r>
        <w:rPr>
          <w:rFonts w:hint="eastAsia" w:ascii="黑体" w:hAnsi="黑体" w:eastAsia="黑体" w:cs="黑体"/>
          <w:b/>
          <w:bCs/>
          <w:color w:val="000000"/>
          <w:spacing w:val="0"/>
          <w:w w:val="100"/>
          <w:kern w:val="2"/>
          <w:position w:val="0"/>
          <w:sz w:val="32"/>
          <w:szCs w:val="32"/>
          <w:u w:val="none"/>
          <w:shd w:val="clear" w:color="auto" w:fill="auto"/>
          <w:lang w:val="en-US" w:eastAsia="zh-CN" w:bidi="zh-TW"/>
        </w:rPr>
        <w:t>3.教育教学质量</w:t>
      </w:r>
      <w:bookmarkEnd w:id="45"/>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46" w:name="_Toc73"/>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3.1专业建设质量</w:t>
      </w:r>
      <w:bookmarkEnd w:id="46"/>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根据《国家职业教育改革实施方案》、教育部等九部门《职业教育提质培优行动计划2020-2023》《江西省职业教育改革实施方案》《教育部 江西省人民政府关于整省推进职业教育综合改革提质创优的意见》等文件的要求，学校制定《鹰潭应用工程学校职业教育提质培优行动计划实施方案》，牢牢把握国家经济结构调整和产业发展升级的大方向，坚持为地方产业输送技术人才的办学方向，初步形成了计算机应用、旅游服务与管理、智能制造、幼儿保育为主干的4个专业群和围绕地方经济发展的特色专业群。</w:t>
      </w:r>
    </w:p>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ascii="仿宋_GB2312" w:eastAsia="仿宋_GB2312"/>
          <w:color w:val="000000"/>
          <w:sz w:val="32"/>
          <w:szCs w:val="32"/>
        </w:rPr>
      </w:pPr>
      <w:r>
        <w:rPr>
          <w:rFonts w:hint="eastAsia" w:ascii="仿宋_GB2312" w:hAnsi="宋体" w:eastAsia="仿宋_GB2312" w:cs="宋体"/>
          <w:color w:val="000000"/>
          <w:kern w:val="0"/>
          <w:sz w:val="32"/>
          <w:szCs w:val="32"/>
          <w:lang w:val="en-US" w:eastAsia="zh-CN" w:bidi="ar-SA"/>
        </w:rPr>
        <w:t>全力打造以计算机应用专业为龙头——辐射物联网技术应用、计算机平面设计、动漫与游戏制作、电子商务等专业的信息技术专业群，以数控技术与应用专业为龙头——辐射汽车修理与维护等专业的智能制造专业群，以旅游服务与管理专业为龙头——辐射城市轨道交通运营服务、航空服务、会计事务等专业的旅游商贸专业群，以幼儿保育专业为龙头——辐射职教高考等专业的教育综合专业群。特色专业——民间传统工艺（雕刻方向）和眼视光与配镜。</w:t>
      </w:r>
    </w:p>
    <w:p>
      <w:pPr>
        <w:pStyle w:val="14"/>
        <w:spacing w:line="600" w:lineRule="exact"/>
        <w:ind w:firstLine="640" w:firstLineChars="200"/>
        <w:jc w:val="both"/>
        <w:rPr>
          <w:rFonts w:ascii="仿宋_GB2312" w:hAnsi="仿宋_GB2312" w:eastAsia="仿宋_GB2312" w:cs="仿宋_GB2312"/>
          <w:color w:val="0C0C0C"/>
          <w:sz w:val="32"/>
          <w:szCs w:val="32"/>
        </w:rPr>
      </w:pPr>
      <w:r>
        <w:rPr>
          <w:rFonts w:hint="eastAsia" w:ascii="仿宋_GB2312" w:eastAsia="仿宋_GB2312"/>
          <w:color w:val="000000"/>
          <w:sz w:val="32"/>
          <w:szCs w:val="32"/>
        </w:rPr>
        <w:t>学校紧贴市场，主动适应区域经济、社会发展和行业变化，有针对性地设置和调整专业。2</w:t>
      </w:r>
      <w:r>
        <w:rPr>
          <w:rFonts w:ascii="仿宋_GB2312" w:eastAsia="仿宋_GB2312"/>
          <w:color w:val="000000"/>
          <w:sz w:val="32"/>
          <w:szCs w:val="32"/>
        </w:rPr>
        <w:t>021</w:t>
      </w:r>
      <w:r>
        <w:rPr>
          <w:rFonts w:hint="eastAsia" w:ascii="仿宋_GB2312" w:eastAsia="仿宋_GB2312"/>
          <w:color w:val="000000"/>
          <w:sz w:val="32"/>
          <w:szCs w:val="32"/>
        </w:rPr>
        <w:t>年新增物联网技术应用专业</w:t>
      </w:r>
      <w:r>
        <w:rPr>
          <w:rFonts w:hint="eastAsia" w:ascii="仿宋_GB2312" w:hAnsi="仿宋_GB2312" w:eastAsia="仿宋_GB2312" w:cs="仿宋_GB2312"/>
          <w:color w:val="0C0C0C"/>
          <w:sz w:val="32"/>
          <w:szCs w:val="32"/>
        </w:rPr>
        <w:t>，完成两个班</w:t>
      </w:r>
      <w:r>
        <w:rPr>
          <w:rFonts w:ascii="仿宋_GB2312" w:hAnsi="仿宋_GB2312" w:eastAsia="仿宋_GB2312" w:cs="仿宋_GB2312"/>
          <w:color w:val="0C0C0C"/>
          <w:sz w:val="32"/>
          <w:szCs w:val="32"/>
        </w:rPr>
        <w:t>100人的招生目标，并和江西师范高等专科学校合作，成立3+2物联网大专班，为鹰潭物联网产业发展提供人才支撑</w:t>
      </w:r>
      <w:r>
        <w:rPr>
          <w:rFonts w:hint="eastAsia" w:ascii="仿宋_GB2312" w:hAnsi="仿宋_GB2312" w:eastAsia="仿宋_GB2312" w:cs="仿宋_GB2312"/>
          <w:color w:val="0C0C0C"/>
          <w:sz w:val="32"/>
          <w:szCs w:val="32"/>
        </w:rPr>
        <w:t>。</w:t>
      </w:r>
      <w:r>
        <w:rPr>
          <w:rFonts w:ascii="仿宋_GB2312" w:hAnsi="仿宋_GB2312" w:eastAsia="仿宋_GB2312" w:cs="仿宋_GB2312"/>
          <w:color w:val="0C0C0C"/>
          <w:sz w:val="32"/>
          <w:szCs w:val="32"/>
        </w:rPr>
        <w:t>围绕智慧新城建设，积极融入“新一代宽带无线移动通信网”国家科技重大专项成果转移转化在鹰潭市试点示范，深度打造计算机+专业群。</w:t>
      </w:r>
    </w:p>
    <w:p>
      <w:pPr>
        <w:spacing w:line="221" w:lineRule="auto"/>
        <w:ind w:left="2618"/>
        <w:rPr>
          <w:rFonts w:ascii="宋体" w:hAnsi="宋体" w:eastAsia="宋体" w:cs="宋体"/>
          <w:color w:val="0000FF"/>
          <w:spacing w:val="-2"/>
          <w:sz w:val="21"/>
          <w:szCs w:val="21"/>
          <w14:textOutline w14:w="3835" w14:cap="flat" w14:cmpd="sng">
            <w14:solidFill>
              <w14:srgbClr w14:val="1F4E79"/>
            </w14:solidFill>
            <w14:prstDash w14:val="solid"/>
            <w14:miter w14:val="0"/>
          </w14:textOutline>
        </w:rPr>
      </w:pPr>
      <w:r>
        <w:rPr>
          <w:rFonts w:ascii="宋体" w:hAnsi="宋体" w:eastAsia="宋体" w:cs="宋体"/>
          <w:color w:val="0000FF"/>
          <w:spacing w:val="-4"/>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3</w:t>
      </w:r>
      <w:r>
        <w:rPr>
          <w:rFonts w:ascii="宋体" w:hAnsi="宋体" w:eastAsia="宋体" w:cs="宋体"/>
          <w:color w:val="0000FF"/>
          <w:spacing w:val="-4"/>
          <w:sz w:val="21"/>
          <w:szCs w:val="21"/>
        </w:rPr>
        <w:t xml:space="preserve"> </w:t>
      </w:r>
      <w:r>
        <w:rPr>
          <w:rFonts w:hint="eastAsia" w:ascii="宋体" w:hAnsi="宋体" w:eastAsia="宋体" w:cs="宋体"/>
          <w:color w:val="0000FF"/>
          <w:spacing w:val="-4"/>
          <w:sz w:val="21"/>
          <w:szCs w:val="21"/>
          <w:lang w:val="en-US" w:eastAsia="zh-CN"/>
          <w14:textOutline w14:w="3835" w14:cap="flat" w14:cmpd="sng">
            <w14:solidFill>
              <w14:srgbClr w14:val="1F4E79"/>
            </w14:solidFill>
            <w14:prstDash w14:val="solid"/>
            <w14:miter w14:val="0"/>
          </w14:textOutline>
        </w:rPr>
        <w:t xml:space="preserve"> </w:t>
      </w:r>
      <w:r>
        <w:rPr>
          <w:rFonts w:ascii="宋体" w:hAnsi="宋体" w:eastAsia="宋体" w:cs="宋体"/>
          <w:color w:val="0000FF"/>
          <w:spacing w:val="-2"/>
          <w:sz w:val="21"/>
          <w:szCs w:val="21"/>
        </w:rPr>
        <w:t xml:space="preserve">  </w:t>
      </w:r>
      <w:r>
        <w:rPr>
          <w:rFonts w:ascii="宋体" w:hAnsi="宋体" w:eastAsia="宋体" w:cs="宋体"/>
          <w:color w:val="0000FF"/>
          <w:spacing w:val="-2"/>
          <w:sz w:val="21"/>
          <w:szCs w:val="21"/>
          <w14:textOutline w14:w="3835" w14:cap="flat" w14:cmpd="sng">
            <w14:solidFill>
              <w14:srgbClr w14:val="1F4E79"/>
            </w14:solidFill>
            <w14:prstDash w14:val="solid"/>
            <w14:miter w14:val="0"/>
          </w14:textOutline>
        </w:rPr>
        <w:t>学校现有专业设置一览表</w:t>
      </w:r>
    </w:p>
    <w:tbl>
      <w:tblPr>
        <w:tblStyle w:val="30"/>
        <w:tblW w:w="7972" w:type="dxa"/>
        <w:tblInd w:w="0"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808"/>
        <w:gridCol w:w="1417"/>
        <w:gridCol w:w="1417"/>
        <w:gridCol w:w="2267"/>
        <w:gridCol w:w="2063"/>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7" w:hRule="atLeast"/>
        </w:trPr>
        <w:tc>
          <w:tcPr>
            <w:tcW w:w="808" w:type="dxa"/>
            <w:tcBorders>
              <w:left w:val="single" w:color="FFFFFF" w:sz="2" w:space="0"/>
              <w:right w:val="single" w:color="FFFFFF" w:sz="2" w:space="0"/>
            </w:tcBorders>
            <w:shd w:val="clear" w:color="auto" w:fill="2E74B5"/>
            <w:vAlign w:val="top"/>
          </w:tcPr>
          <w:p>
            <w:pPr>
              <w:spacing w:before="49" w:line="221" w:lineRule="auto"/>
              <w:ind w:left="226"/>
              <w:rPr>
                <w:rFonts w:ascii="宋体" w:hAnsi="宋体" w:eastAsia="宋体" w:cs="宋体"/>
                <w:sz w:val="18"/>
                <w:szCs w:val="18"/>
              </w:rPr>
            </w:pP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序号</w:t>
            </w:r>
          </w:p>
        </w:tc>
        <w:tc>
          <w:tcPr>
            <w:tcW w:w="1417" w:type="dxa"/>
            <w:tcBorders>
              <w:left w:val="single" w:color="FFFFFF" w:sz="2" w:space="0"/>
              <w:right w:val="single" w:color="FFFFFF" w:sz="2" w:space="0"/>
            </w:tcBorders>
            <w:shd w:val="clear" w:color="auto" w:fill="2E74B5"/>
            <w:vAlign w:val="top"/>
          </w:tcPr>
          <w:p>
            <w:pPr>
              <w:spacing w:before="49" w:line="220" w:lineRule="auto"/>
              <w:ind w:left="540"/>
              <w:rPr>
                <w:rFonts w:hint="eastAsia" w:ascii="宋体" w:hAnsi="宋体" w:eastAsia="宋体" w:cs="宋体"/>
                <w:sz w:val="18"/>
                <w:szCs w:val="18"/>
                <w:lang w:eastAsia="zh-CN"/>
              </w:rPr>
            </w:pPr>
            <w:r>
              <w:rPr>
                <w:rFonts w:hint="eastAsia" w:ascii="宋体" w:hAnsi="宋体" w:eastAsia="宋体" w:cs="宋体"/>
                <w:color w:val="FFFFFF"/>
                <w:spacing w:val="-5"/>
                <w:sz w:val="18"/>
                <w:szCs w:val="18"/>
                <w:lang w:val="en-US" w:eastAsia="zh-CN"/>
                <w14:textOutline w14:w="3263" w14:cap="flat" w14:cmpd="sng">
                  <w14:solidFill>
                    <w14:srgbClr w14:val="FFFFFF"/>
                  </w14:solidFill>
                  <w14:prstDash w14:val="solid"/>
                  <w14:miter w14:val="0"/>
                </w14:textOutline>
              </w:rPr>
              <w:t>学部</w:t>
            </w:r>
          </w:p>
        </w:tc>
        <w:tc>
          <w:tcPr>
            <w:tcW w:w="1417" w:type="dxa"/>
            <w:tcBorders>
              <w:left w:val="single" w:color="FFFFFF" w:sz="2" w:space="0"/>
              <w:right w:val="single" w:color="FFFFFF" w:sz="2" w:space="0"/>
            </w:tcBorders>
            <w:shd w:val="clear" w:color="auto" w:fill="2E74B5"/>
            <w:vAlign w:val="top"/>
          </w:tcPr>
          <w:p>
            <w:pPr>
              <w:spacing w:before="48" w:line="220" w:lineRule="auto"/>
              <w:ind w:left="350"/>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专业</w:t>
            </w: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代码</w:t>
            </w:r>
          </w:p>
        </w:tc>
        <w:tc>
          <w:tcPr>
            <w:tcW w:w="2267" w:type="dxa"/>
            <w:tcBorders>
              <w:left w:val="single" w:color="FFFFFF" w:sz="2" w:space="0"/>
              <w:right w:val="single" w:color="FFFFFF" w:sz="2" w:space="0"/>
            </w:tcBorders>
            <w:shd w:val="clear" w:color="auto" w:fill="2E74B5"/>
            <w:vAlign w:val="top"/>
          </w:tcPr>
          <w:p>
            <w:pPr>
              <w:spacing w:before="49" w:line="220" w:lineRule="auto"/>
              <w:ind w:left="776"/>
              <w:rPr>
                <w:rFonts w:hint="eastAsia" w:ascii="宋体" w:hAnsi="宋体" w:eastAsia="宋体" w:cs="宋体"/>
                <w:sz w:val="18"/>
                <w:szCs w:val="18"/>
                <w:lang w:val="en-US" w:eastAsia="zh-CN"/>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专业</w:t>
            </w:r>
            <w:r>
              <w:rPr>
                <w:rFonts w:hint="eastAsia" w:ascii="宋体" w:hAnsi="宋体" w:eastAsia="宋体" w:cs="宋体"/>
                <w:color w:val="FFFFFF"/>
                <w:spacing w:val="-2"/>
                <w:sz w:val="18"/>
                <w:szCs w:val="18"/>
                <w:lang w:val="en-US" w:eastAsia="zh-CN"/>
                <w14:textOutline w14:w="3263" w14:cap="flat" w14:cmpd="sng">
                  <w14:solidFill>
                    <w14:srgbClr w14:val="FFFFFF"/>
                  </w14:solidFill>
                  <w14:prstDash w14:val="solid"/>
                  <w14:miter w14:val="0"/>
                </w14:textOutline>
              </w:rPr>
              <w:t>大类</w:t>
            </w:r>
          </w:p>
        </w:tc>
        <w:tc>
          <w:tcPr>
            <w:tcW w:w="2063" w:type="dxa"/>
            <w:tcBorders>
              <w:left w:val="single" w:color="FFFFFF" w:sz="2" w:space="0"/>
              <w:right w:val="single" w:color="FFFFFF" w:sz="2" w:space="0"/>
            </w:tcBorders>
            <w:shd w:val="clear" w:color="auto" w:fill="2E74B5"/>
            <w:vAlign w:val="top"/>
          </w:tcPr>
          <w:p>
            <w:pPr>
              <w:spacing w:before="48" w:line="219" w:lineRule="auto"/>
              <w:ind w:left="677"/>
              <w:rPr>
                <w:rFonts w:hint="default" w:ascii="宋体" w:hAnsi="宋体" w:eastAsia="宋体" w:cs="宋体"/>
                <w:sz w:val="18"/>
                <w:szCs w:val="18"/>
                <w:lang w:val="en-US" w:eastAsia="zh-CN"/>
              </w:rPr>
            </w:pPr>
            <w:r>
              <w:rPr>
                <w:rFonts w:hint="eastAsia" w:ascii="宋体" w:hAnsi="宋体" w:eastAsia="宋体" w:cs="宋体"/>
                <w:color w:val="FFFFFF"/>
                <w:spacing w:val="-3"/>
                <w:sz w:val="18"/>
                <w:szCs w:val="18"/>
                <w:lang w:val="en-US" w:eastAsia="zh-CN"/>
                <w14:textOutline w14:w="3263" w14:cap="flat" w14:cmpd="sng">
                  <w14:solidFill>
                    <w14:srgbClr w14:val="FFFFFF"/>
                  </w14:solidFill>
                  <w14:prstDash w14:val="solid"/>
                  <w14:miter w14:val="0"/>
                </w14:textOutline>
              </w:rPr>
              <w:t>专业名称</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02" w:hRule="atLeast"/>
        </w:trPr>
        <w:tc>
          <w:tcPr>
            <w:tcW w:w="808" w:type="dxa"/>
            <w:shd w:val="clear" w:color="auto" w:fill="BDD6EE"/>
            <w:vAlign w:val="top"/>
          </w:tcPr>
          <w:p>
            <w:pPr>
              <w:spacing w:before="86" w:line="185" w:lineRule="auto"/>
              <w:ind w:left="377"/>
              <w:rPr>
                <w:rFonts w:ascii="宋体" w:hAnsi="宋体" w:eastAsia="宋体" w:cs="宋体"/>
                <w:sz w:val="18"/>
                <w:szCs w:val="18"/>
              </w:rPr>
            </w:pPr>
            <w:r>
              <w:rPr>
                <w:rFonts w:ascii="宋体" w:hAnsi="宋体" w:eastAsia="宋体" w:cs="宋体"/>
                <w:sz w:val="18"/>
                <w:szCs w:val="18"/>
              </w:rPr>
              <w:t>1</w:t>
            </w:r>
          </w:p>
        </w:tc>
        <w:tc>
          <w:tcPr>
            <w:tcW w:w="1417" w:type="dxa"/>
            <w:vAlign w:val="top"/>
          </w:tcPr>
          <w:p>
            <w:pPr>
              <w:spacing w:before="54" w:line="220" w:lineRule="auto"/>
              <w:ind w:left="261"/>
              <w:rPr>
                <w:rFonts w:hint="default" w:ascii="宋体" w:hAnsi="宋体" w:eastAsia="宋体" w:cs="宋体"/>
                <w:sz w:val="18"/>
                <w:szCs w:val="18"/>
                <w:lang w:val="en-US" w:eastAsia="zh-CN"/>
              </w:rPr>
            </w:pPr>
            <w:r>
              <w:rPr>
                <w:rFonts w:hint="eastAsia" w:ascii="宋体" w:hAnsi="宋体" w:eastAsia="宋体" w:cs="宋体"/>
                <w:spacing w:val="-2"/>
                <w:sz w:val="18"/>
                <w:szCs w:val="18"/>
                <w:lang w:val="en-US" w:eastAsia="zh-CN"/>
              </w:rPr>
              <w:t>智能制造学部</w:t>
            </w:r>
          </w:p>
        </w:tc>
        <w:tc>
          <w:tcPr>
            <w:tcW w:w="1417" w:type="dxa"/>
            <w:vAlign w:val="center"/>
          </w:tcPr>
          <w:p>
            <w:pPr>
              <w:spacing w:before="45"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700206</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交通运输大类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汽车运用与维修</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7" w:hRule="atLeast"/>
        </w:trPr>
        <w:tc>
          <w:tcPr>
            <w:tcW w:w="808" w:type="dxa"/>
            <w:shd w:val="clear" w:color="auto" w:fill="BDD6EE"/>
            <w:vAlign w:val="top"/>
          </w:tcPr>
          <w:p>
            <w:pPr>
              <w:spacing w:before="77" w:line="184" w:lineRule="auto"/>
              <w:ind w:left="366"/>
              <w:rPr>
                <w:rFonts w:ascii="宋体" w:hAnsi="宋体" w:eastAsia="宋体" w:cs="宋体"/>
                <w:sz w:val="18"/>
                <w:szCs w:val="18"/>
              </w:rPr>
            </w:pPr>
            <w:r>
              <w:rPr>
                <w:rFonts w:ascii="宋体" w:hAnsi="宋体" w:eastAsia="宋体" w:cs="宋体"/>
                <w:sz w:val="18"/>
                <w:szCs w:val="18"/>
              </w:rPr>
              <w:t>2</w:t>
            </w:r>
          </w:p>
        </w:tc>
        <w:tc>
          <w:tcPr>
            <w:tcW w:w="1417" w:type="dxa"/>
            <w:vAlign w:val="top"/>
          </w:tcPr>
          <w:p>
            <w:pPr>
              <w:spacing w:before="45" w:line="220" w:lineRule="auto"/>
              <w:ind w:left="261"/>
              <w:rPr>
                <w:rFonts w:ascii="宋体" w:hAnsi="宋体" w:eastAsia="宋体" w:cs="宋体"/>
                <w:sz w:val="18"/>
                <w:szCs w:val="18"/>
              </w:rPr>
            </w:pPr>
            <w:r>
              <w:rPr>
                <w:rFonts w:hint="eastAsia" w:ascii="宋体" w:hAnsi="宋体" w:eastAsia="宋体" w:cs="宋体"/>
                <w:spacing w:val="-2"/>
                <w:sz w:val="18"/>
                <w:szCs w:val="18"/>
                <w:lang w:val="en-US" w:eastAsia="zh-CN"/>
              </w:rPr>
              <w:t>智能制造学部</w:t>
            </w:r>
          </w:p>
        </w:tc>
        <w:tc>
          <w:tcPr>
            <w:tcW w:w="1417" w:type="dxa"/>
            <w:vAlign w:val="center"/>
          </w:tcPr>
          <w:p>
            <w:pPr>
              <w:spacing w:before="45"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660103</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装备制造大类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数控技术应用</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0" w:hRule="atLeast"/>
        </w:trPr>
        <w:tc>
          <w:tcPr>
            <w:tcW w:w="808" w:type="dxa"/>
            <w:shd w:val="clear" w:color="auto" w:fill="BDD6EE"/>
            <w:vAlign w:val="top"/>
          </w:tcPr>
          <w:p>
            <w:pPr>
              <w:spacing w:before="75" w:line="183" w:lineRule="auto"/>
              <w:ind w:left="368"/>
              <w:rPr>
                <w:rFonts w:ascii="宋体" w:hAnsi="宋体" w:eastAsia="宋体" w:cs="宋体"/>
                <w:sz w:val="18"/>
                <w:szCs w:val="18"/>
              </w:rPr>
            </w:pPr>
            <w:r>
              <w:rPr>
                <w:rFonts w:ascii="宋体" w:hAnsi="宋体" w:eastAsia="宋体" w:cs="宋体"/>
                <w:sz w:val="18"/>
                <w:szCs w:val="18"/>
              </w:rPr>
              <w:t>3</w:t>
            </w:r>
          </w:p>
        </w:tc>
        <w:tc>
          <w:tcPr>
            <w:tcW w:w="1417" w:type="dxa"/>
            <w:vAlign w:val="top"/>
          </w:tcPr>
          <w:p>
            <w:pPr>
              <w:spacing w:before="43" w:line="220" w:lineRule="auto"/>
              <w:ind w:left="261"/>
              <w:rPr>
                <w:rFonts w:ascii="宋体" w:hAnsi="宋体" w:eastAsia="宋体" w:cs="宋体"/>
                <w:sz w:val="18"/>
                <w:szCs w:val="18"/>
              </w:rPr>
            </w:pPr>
            <w:r>
              <w:rPr>
                <w:rFonts w:hint="eastAsia" w:ascii="宋体" w:hAnsi="宋体" w:eastAsia="宋体" w:cs="宋体"/>
                <w:spacing w:val="-2"/>
                <w:sz w:val="18"/>
                <w:szCs w:val="18"/>
                <w:lang w:val="en-US" w:eastAsia="zh-CN"/>
              </w:rPr>
              <w:t>智能制造学部</w:t>
            </w:r>
          </w:p>
        </w:tc>
        <w:tc>
          <w:tcPr>
            <w:tcW w:w="1417" w:type="dxa"/>
            <w:vAlign w:val="center"/>
          </w:tcPr>
          <w:p>
            <w:pPr>
              <w:spacing w:before="45"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720901</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医药卫生大类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眼视光与配镜</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4" w:hRule="atLeast"/>
        </w:trPr>
        <w:tc>
          <w:tcPr>
            <w:tcW w:w="808" w:type="dxa"/>
            <w:shd w:val="clear" w:color="auto" w:fill="BDD6EE"/>
            <w:vAlign w:val="top"/>
          </w:tcPr>
          <w:p>
            <w:pPr>
              <w:spacing w:before="80" w:line="184" w:lineRule="auto"/>
              <w:ind w:left="363"/>
              <w:rPr>
                <w:rFonts w:ascii="宋体" w:hAnsi="宋体" w:eastAsia="宋体" w:cs="宋体"/>
                <w:sz w:val="18"/>
                <w:szCs w:val="18"/>
              </w:rPr>
            </w:pPr>
            <w:r>
              <w:rPr>
                <w:rFonts w:ascii="宋体" w:hAnsi="宋体" w:eastAsia="宋体" w:cs="宋体"/>
                <w:sz w:val="18"/>
                <w:szCs w:val="18"/>
              </w:rPr>
              <w:t>4</w:t>
            </w:r>
          </w:p>
        </w:tc>
        <w:tc>
          <w:tcPr>
            <w:tcW w:w="1417" w:type="dxa"/>
            <w:vAlign w:val="top"/>
          </w:tcPr>
          <w:p>
            <w:pPr>
              <w:spacing w:before="48" w:line="220" w:lineRule="auto"/>
              <w:ind w:left="261"/>
              <w:rPr>
                <w:rFonts w:ascii="宋体" w:hAnsi="宋体" w:eastAsia="宋体" w:cs="宋体"/>
                <w:sz w:val="18"/>
                <w:szCs w:val="18"/>
              </w:rPr>
            </w:pPr>
            <w:r>
              <w:rPr>
                <w:rFonts w:hint="eastAsia" w:ascii="宋体" w:hAnsi="宋体" w:eastAsia="宋体" w:cs="宋体"/>
                <w:spacing w:val="-2"/>
                <w:sz w:val="18"/>
                <w:szCs w:val="18"/>
                <w:lang w:val="en-US" w:eastAsia="zh-CN"/>
              </w:rPr>
              <w:t>智能制造学部</w:t>
            </w:r>
          </w:p>
        </w:tc>
        <w:tc>
          <w:tcPr>
            <w:tcW w:w="1417" w:type="dxa"/>
            <w:vAlign w:val="center"/>
          </w:tcPr>
          <w:p>
            <w:pPr>
              <w:keepNext w:val="0"/>
              <w:keepLines w:val="0"/>
              <w:widowControl/>
              <w:suppressLineNumbers w:val="0"/>
              <w:ind w:firstLine="352" w:firstLineChars="200"/>
              <w:jc w:val="both"/>
              <w:textAlignment w:val="center"/>
              <w:rPr>
                <w:rFonts w:ascii="仿宋_GB2312" w:hAnsi="等线" w:eastAsia="仿宋_GB2312" w:cs="仿宋_GB2312"/>
                <w:i w:val="0"/>
                <w:iCs w:val="0"/>
                <w:color w:val="000000"/>
                <w:kern w:val="2"/>
                <w:sz w:val="24"/>
                <w:szCs w:val="24"/>
                <w:u w:val="none"/>
                <w:lang w:val="en-US" w:eastAsia="zh-CN" w:bidi="ar-SA"/>
              </w:rPr>
            </w:pPr>
            <w:r>
              <w:rPr>
                <w:rFonts w:hint="default" w:ascii="宋体" w:hAnsi="宋体" w:eastAsia="宋体" w:cs="宋体"/>
                <w:spacing w:val="-2"/>
                <w:sz w:val="18"/>
                <w:szCs w:val="18"/>
                <w:lang w:val="en-US" w:eastAsia="zh-CN"/>
              </w:rPr>
              <w:t>630502</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能源动力与材料大类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金属压力加工</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5" w:hRule="atLeast"/>
        </w:trPr>
        <w:tc>
          <w:tcPr>
            <w:tcW w:w="808" w:type="dxa"/>
            <w:shd w:val="clear" w:color="auto" w:fill="BDD6EE"/>
            <w:vAlign w:val="top"/>
          </w:tcPr>
          <w:p>
            <w:pPr>
              <w:spacing w:before="80" w:line="181" w:lineRule="auto"/>
              <w:ind w:left="368"/>
              <w:rPr>
                <w:rFonts w:ascii="宋体" w:hAnsi="宋体" w:eastAsia="宋体" w:cs="宋体"/>
                <w:sz w:val="18"/>
                <w:szCs w:val="18"/>
              </w:rPr>
            </w:pPr>
            <w:r>
              <w:rPr>
                <w:rFonts w:ascii="宋体" w:hAnsi="宋体" w:eastAsia="宋体" w:cs="宋体"/>
                <w:sz w:val="18"/>
                <w:szCs w:val="18"/>
              </w:rPr>
              <w:t>5</w:t>
            </w:r>
          </w:p>
        </w:tc>
        <w:tc>
          <w:tcPr>
            <w:tcW w:w="1417" w:type="dxa"/>
            <w:vAlign w:val="top"/>
          </w:tcPr>
          <w:p>
            <w:pPr>
              <w:spacing w:before="46" w:line="220" w:lineRule="auto"/>
              <w:ind w:left="260"/>
              <w:rPr>
                <w:rFonts w:ascii="宋体" w:hAnsi="宋体" w:eastAsia="宋体" w:cs="宋体"/>
                <w:sz w:val="18"/>
                <w:szCs w:val="18"/>
              </w:rPr>
            </w:pPr>
            <w:r>
              <w:rPr>
                <w:rFonts w:hint="eastAsia" w:ascii="宋体" w:hAnsi="宋体" w:eastAsia="宋体" w:cs="宋体"/>
                <w:spacing w:val="-2"/>
                <w:sz w:val="18"/>
                <w:szCs w:val="18"/>
                <w:lang w:val="en-US" w:eastAsia="zh-CN"/>
              </w:rPr>
              <w:t>智能制造学部</w:t>
            </w:r>
          </w:p>
        </w:tc>
        <w:tc>
          <w:tcPr>
            <w:tcW w:w="1417" w:type="dxa"/>
            <w:vAlign w:val="center"/>
          </w:tcPr>
          <w:p>
            <w:pPr>
              <w:spacing w:before="45"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710103</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电子与信息大类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电子技术应用</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2" w:hRule="atLeast"/>
        </w:trPr>
        <w:tc>
          <w:tcPr>
            <w:tcW w:w="808" w:type="dxa"/>
            <w:shd w:val="clear" w:color="auto" w:fill="BDD6EE"/>
            <w:vAlign w:val="top"/>
          </w:tcPr>
          <w:p>
            <w:pPr>
              <w:spacing w:before="88" w:line="183" w:lineRule="auto"/>
              <w:ind w:left="365"/>
              <w:rPr>
                <w:rFonts w:ascii="宋体" w:hAnsi="宋体" w:eastAsia="宋体" w:cs="宋体"/>
                <w:sz w:val="18"/>
                <w:szCs w:val="18"/>
              </w:rPr>
            </w:pPr>
            <w:r>
              <w:rPr>
                <w:rFonts w:ascii="宋体" w:hAnsi="宋体" w:eastAsia="宋体" w:cs="宋体"/>
                <w:sz w:val="18"/>
                <w:szCs w:val="18"/>
              </w:rPr>
              <w:t>6</w:t>
            </w:r>
          </w:p>
        </w:tc>
        <w:tc>
          <w:tcPr>
            <w:tcW w:w="1417" w:type="dxa"/>
            <w:vAlign w:val="top"/>
          </w:tcPr>
          <w:p>
            <w:pPr>
              <w:spacing w:before="46" w:line="220" w:lineRule="auto"/>
              <w:ind w:left="260"/>
              <w:rPr>
                <w:rFonts w:hint="default" w:ascii="宋体" w:hAnsi="宋体" w:eastAsia="宋体" w:cs="宋体"/>
                <w:sz w:val="18"/>
                <w:szCs w:val="18"/>
                <w:lang w:val="en-US" w:eastAsia="zh-CN"/>
              </w:rPr>
            </w:pPr>
            <w:r>
              <w:rPr>
                <w:rFonts w:hint="eastAsia" w:ascii="宋体" w:hAnsi="宋体" w:eastAsia="宋体" w:cs="宋体"/>
                <w:spacing w:val="-2"/>
                <w:sz w:val="18"/>
                <w:szCs w:val="18"/>
                <w:lang w:val="en-US" w:eastAsia="zh-CN"/>
              </w:rPr>
              <w:t>旅游商贸学部</w:t>
            </w:r>
          </w:p>
        </w:tc>
        <w:tc>
          <w:tcPr>
            <w:tcW w:w="1417" w:type="dxa"/>
            <w:vAlign w:val="center"/>
          </w:tcPr>
          <w:p>
            <w:pPr>
              <w:spacing w:before="45"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740101</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旅游大类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旅游服务与管理</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2" w:hRule="atLeast"/>
        </w:trPr>
        <w:tc>
          <w:tcPr>
            <w:tcW w:w="808" w:type="dxa"/>
            <w:shd w:val="clear" w:color="auto" w:fill="BDD6EE"/>
            <w:vAlign w:val="top"/>
          </w:tcPr>
          <w:p>
            <w:pPr>
              <w:spacing w:before="93" w:line="181" w:lineRule="auto"/>
              <w:ind w:left="368"/>
              <w:rPr>
                <w:rFonts w:ascii="宋体" w:hAnsi="宋体" w:eastAsia="宋体" w:cs="宋体"/>
                <w:sz w:val="18"/>
                <w:szCs w:val="18"/>
              </w:rPr>
            </w:pPr>
            <w:r>
              <w:rPr>
                <w:rFonts w:ascii="宋体" w:hAnsi="宋体" w:eastAsia="宋体" w:cs="宋体"/>
                <w:sz w:val="18"/>
                <w:szCs w:val="18"/>
              </w:rPr>
              <w:t>7</w:t>
            </w:r>
          </w:p>
        </w:tc>
        <w:tc>
          <w:tcPr>
            <w:tcW w:w="1417" w:type="dxa"/>
            <w:vAlign w:val="top"/>
          </w:tcPr>
          <w:p>
            <w:pPr>
              <w:spacing w:before="47" w:line="220" w:lineRule="auto"/>
              <w:ind w:left="260"/>
              <w:rPr>
                <w:rFonts w:hint="default" w:ascii="宋体" w:hAnsi="宋体" w:eastAsia="宋体" w:cs="宋体"/>
                <w:sz w:val="18"/>
                <w:szCs w:val="18"/>
                <w:lang w:val="en-US" w:eastAsia="zh-CN"/>
              </w:rPr>
            </w:pPr>
            <w:r>
              <w:rPr>
                <w:rFonts w:hint="eastAsia" w:ascii="宋体" w:hAnsi="宋体" w:eastAsia="宋体" w:cs="宋体"/>
                <w:spacing w:val="-2"/>
                <w:sz w:val="18"/>
                <w:szCs w:val="18"/>
                <w:lang w:val="en-US" w:eastAsia="zh-CN"/>
              </w:rPr>
              <w:t>旅游商贸学部</w:t>
            </w:r>
          </w:p>
        </w:tc>
        <w:tc>
          <w:tcPr>
            <w:tcW w:w="1417" w:type="dxa"/>
            <w:vAlign w:val="center"/>
          </w:tcPr>
          <w:p>
            <w:pPr>
              <w:spacing w:before="45"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700604</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交通运输大类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城市轨道交通运营服务</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7" w:hRule="atLeast"/>
        </w:trPr>
        <w:tc>
          <w:tcPr>
            <w:tcW w:w="808" w:type="dxa"/>
            <w:shd w:val="clear" w:color="auto" w:fill="BDD6EE"/>
            <w:vAlign w:val="top"/>
          </w:tcPr>
          <w:p>
            <w:pPr>
              <w:spacing w:before="92" w:line="183" w:lineRule="auto"/>
              <w:ind w:left="365"/>
              <w:rPr>
                <w:rFonts w:ascii="宋体" w:hAnsi="宋体" w:eastAsia="宋体" w:cs="宋体"/>
                <w:sz w:val="18"/>
                <w:szCs w:val="18"/>
              </w:rPr>
            </w:pPr>
            <w:r>
              <w:rPr>
                <w:rFonts w:ascii="宋体" w:hAnsi="宋体" w:eastAsia="宋体" w:cs="宋体"/>
                <w:sz w:val="18"/>
                <w:szCs w:val="18"/>
              </w:rPr>
              <w:t>8</w:t>
            </w:r>
          </w:p>
        </w:tc>
        <w:tc>
          <w:tcPr>
            <w:tcW w:w="1417" w:type="dxa"/>
            <w:vAlign w:val="top"/>
          </w:tcPr>
          <w:p>
            <w:pPr>
              <w:spacing w:before="50" w:line="220" w:lineRule="auto"/>
              <w:ind w:left="260"/>
              <w:rPr>
                <w:rFonts w:ascii="宋体" w:hAnsi="宋体" w:eastAsia="宋体" w:cs="宋体"/>
                <w:sz w:val="18"/>
                <w:szCs w:val="18"/>
              </w:rPr>
            </w:pPr>
            <w:r>
              <w:rPr>
                <w:rFonts w:hint="eastAsia" w:ascii="宋体" w:hAnsi="宋体" w:eastAsia="宋体" w:cs="宋体"/>
                <w:spacing w:val="-2"/>
                <w:sz w:val="18"/>
                <w:szCs w:val="18"/>
                <w:lang w:val="en-US" w:eastAsia="zh-CN"/>
              </w:rPr>
              <w:t>旅游商贸学部</w:t>
            </w:r>
          </w:p>
        </w:tc>
        <w:tc>
          <w:tcPr>
            <w:tcW w:w="1417" w:type="dxa"/>
            <w:vAlign w:val="center"/>
          </w:tcPr>
          <w:p>
            <w:pPr>
              <w:spacing w:before="45"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700402</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交通运输大类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航空服务</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PrEx>
        <w:trPr>
          <w:trHeight w:val="314" w:hRule="atLeast"/>
        </w:trPr>
        <w:tc>
          <w:tcPr>
            <w:tcW w:w="808" w:type="dxa"/>
            <w:shd w:val="clear" w:color="auto" w:fill="BDD6EE"/>
            <w:vAlign w:val="top"/>
          </w:tcPr>
          <w:p>
            <w:pPr>
              <w:spacing w:before="81" w:line="185" w:lineRule="auto"/>
              <w:ind w:left="332"/>
              <w:rPr>
                <w:rFonts w:hint="eastAsia" w:ascii="宋体" w:hAnsi="宋体" w:eastAsia="宋体" w:cs="宋体"/>
                <w:sz w:val="18"/>
                <w:szCs w:val="18"/>
                <w:lang w:eastAsia="zh-CN"/>
              </w:rPr>
            </w:pPr>
            <w:r>
              <w:rPr>
                <w:rFonts w:hint="eastAsia" w:ascii="宋体" w:hAnsi="宋体" w:eastAsia="宋体" w:cs="宋体"/>
                <w:spacing w:val="-6"/>
                <w:sz w:val="18"/>
                <w:szCs w:val="18"/>
                <w:lang w:val="en-US" w:eastAsia="zh-CN"/>
              </w:rPr>
              <w:t>9</w:t>
            </w:r>
          </w:p>
        </w:tc>
        <w:tc>
          <w:tcPr>
            <w:tcW w:w="1417" w:type="dxa"/>
            <w:vAlign w:val="top"/>
          </w:tcPr>
          <w:p>
            <w:pPr>
              <w:spacing w:before="50" w:line="220" w:lineRule="auto"/>
              <w:ind w:left="367"/>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45"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710102</w:t>
            </w:r>
          </w:p>
        </w:tc>
        <w:tc>
          <w:tcPr>
            <w:tcW w:w="2267"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电子与信息大类</w:t>
            </w:r>
          </w:p>
        </w:tc>
        <w:tc>
          <w:tcPr>
            <w:tcW w:w="2063" w:type="dxa"/>
            <w:vAlign w:val="center"/>
          </w:tcPr>
          <w:p>
            <w:pPr>
              <w:spacing w:before="54" w:line="220" w:lineRule="auto"/>
              <w:ind w:left="261"/>
              <w:rPr>
                <w:rFonts w:ascii="宋体" w:hAnsi="宋体" w:eastAsia="宋体" w:cs="宋体"/>
                <w:spacing w:val="-2"/>
                <w:sz w:val="18"/>
                <w:szCs w:val="18"/>
              </w:rPr>
            </w:pPr>
            <w:r>
              <w:rPr>
                <w:rFonts w:hint="default" w:ascii="宋体" w:hAnsi="宋体" w:eastAsia="宋体" w:cs="宋体"/>
                <w:spacing w:val="-2"/>
                <w:sz w:val="18"/>
                <w:szCs w:val="18"/>
                <w:lang w:val="en-US" w:eastAsia="zh-CN"/>
              </w:rPr>
              <w:t>物联网技术应用</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10</w:t>
            </w:r>
          </w:p>
        </w:tc>
        <w:tc>
          <w:tcPr>
            <w:tcW w:w="1417" w:type="dxa"/>
            <w:vAlign w:val="top"/>
          </w:tcPr>
          <w:p>
            <w:pPr>
              <w:spacing w:before="50" w:line="220" w:lineRule="auto"/>
              <w:ind w:left="367"/>
              <w:rPr>
                <w:rFonts w:hint="eastAsia"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730701</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财经商贸大类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电子商务</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11</w:t>
            </w:r>
          </w:p>
        </w:tc>
        <w:tc>
          <w:tcPr>
            <w:tcW w:w="1417" w:type="dxa"/>
            <w:vAlign w:val="top"/>
          </w:tcPr>
          <w:p>
            <w:pPr>
              <w:spacing w:before="50" w:line="220" w:lineRule="auto"/>
              <w:ind w:left="367"/>
              <w:rPr>
                <w:rFonts w:hint="eastAsia"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710210</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电子与信息大类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计算机平面设计</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12</w:t>
            </w:r>
          </w:p>
        </w:tc>
        <w:tc>
          <w:tcPr>
            <w:tcW w:w="1417" w:type="dxa"/>
            <w:vAlign w:val="top"/>
          </w:tcPr>
          <w:p>
            <w:pPr>
              <w:spacing w:before="50" w:line="220" w:lineRule="auto"/>
              <w:ind w:left="367"/>
              <w:rPr>
                <w:rFonts w:hint="eastAsia"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760204</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新闻传播大类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动漫与游戏制作</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13</w:t>
            </w:r>
          </w:p>
        </w:tc>
        <w:tc>
          <w:tcPr>
            <w:tcW w:w="1417" w:type="dxa"/>
            <w:vAlign w:val="top"/>
          </w:tcPr>
          <w:p>
            <w:pPr>
              <w:spacing w:before="50" w:line="220" w:lineRule="auto"/>
              <w:ind w:left="367"/>
              <w:rPr>
                <w:rFonts w:hint="eastAsia"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710201</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电子与信息大类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计算机应用</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14</w:t>
            </w:r>
          </w:p>
        </w:tc>
        <w:tc>
          <w:tcPr>
            <w:tcW w:w="1417" w:type="dxa"/>
            <w:vAlign w:val="top"/>
          </w:tcPr>
          <w:p>
            <w:pPr>
              <w:spacing w:before="50" w:line="220" w:lineRule="auto"/>
              <w:ind w:left="367"/>
              <w:rPr>
                <w:rFonts w:hint="eastAsia"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信息技术学部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750305</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文化艺术大类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民间传统工艺</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15</w:t>
            </w:r>
          </w:p>
        </w:tc>
        <w:tc>
          <w:tcPr>
            <w:tcW w:w="1417" w:type="dxa"/>
            <w:vAlign w:val="top"/>
          </w:tcPr>
          <w:p>
            <w:pPr>
              <w:spacing w:before="50" w:line="220" w:lineRule="auto"/>
              <w:ind w:left="367"/>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教育综合学部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770101</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教育与体育大类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幼儿保育</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PrEx>
        <w:trPr>
          <w:trHeight w:val="314" w:hRule="atLeast"/>
        </w:trPr>
        <w:tc>
          <w:tcPr>
            <w:tcW w:w="808" w:type="dxa"/>
            <w:shd w:val="clear" w:color="auto" w:fill="BDD6EE"/>
            <w:vAlign w:val="top"/>
          </w:tcPr>
          <w:p>
            <w:pPr>
              <w:spacing w:before="81" w:line="185" w:lineRule="auto"/>
              <w:ind w:left="332"/>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16</w:t>
            </w:r>
          </w:p>
        </w:tc>
        <w:tc>
          <w:tcPr>
            <w:tcW w:w="1417" w:type="dxa"/>
            <w:vAlign w:val="top"/>
          </w:tcPr>
          <w:p>
            <w:pPr>
              <w:spacing w:before="50" w:line="220" w:lineRule="auto"/>
              <w:ind w:left="367"/>
              <w:rPr>
                <w:rFonts w:hint="default" w:ascii="宋体" w:hAnsi="宋体" w:eastAsia="宋体" w:cs="宋体"/>
                <w:spacing w:val="-6"/>
                <w:sz w:val="18"/>
                <w:szCs w:val="18"/>
                <w:lang w:val="en-US" w:eastAsia="zh-CN"/>
              </w:rPr>
            </w:pPr>
            <w:r>
              <w:rPr>
                <w:rFonts w:hint="eastAsia" w:ascii="宋体" w:hAnsi="宋体" w:eastAsia="宋体" w:cs="宋体"/>
                <w:spacing w:val="-6"/>
                <w:sz w:val="18"/>
                <w:szCs w:val="18"/>
                <w:lang w:val="en-US" w:eastAsia="zh-CN"/>
              </w:rPr>
              <w:t>旅游商贸学部</w:t>
            </w:r>
          </w:p>
        </w:tc>
        <w:tc>
          <w:tcPr>
            <w:tcW w:w="141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730301</w:t>
            </w:r>
          </w:p>
        </w:tc>
        <w:tc>
          <w:tcPr>
            <w:tcW w:w="2267" w:type="dxa"/>
            <w:vAlign w:val="center"/>
          </w:tcPr>
          <w:p>
            <w:pPr>
              <w:spacing w:before="54" w:line="220" w:lineRule="auto"/>
              <w:ind w:left="261"/>
              <w:rPr>
                <w:rFonts w:hint="default" w:ascii="宋体" w:hAnsi="宋体" w:eastAsia="宋体" w:cs="宋体"/>
                <w:spacing w:val="-2"/>
                <w:sz w:val="18"/>
                <w:szCs w:val="18"/>
                <w:lang w:val="en-US" w:eastAsia="zh-CN"/>
              </w:rPr>
            </w:pPr>
            <w:r>
              <w:rPr>
                <w:rFonts w:hint="default" w:ascii="宋体" w:hAnsi="宋体" w:eastAsia="宋体" w:cs="宋体"/>
                <w:spacing w:val="-2"/>
                <w:sz w:val="18"/>
                <w:szCs w:val="18"/>
                <w:lang w:val="en-US" w:eastAsia="zh-CN"/>
              </w:rPr>
              <w:t>财经商贸大类</w:t>
            </w:r>
          </w:p>
        </w:tc>
        <w:tc>
          <w:tcPr>
            <w:tcW w:w="2063" w:type="dxa"/>
            <w:vAlign w:val="center"/>
          </w:tcPr>
          <w:p>
            <w:pPr>
              <w:spacing w:before="54" w:line="220" w:lineRule="auto"/>
              <w:ind w:left="261"/>
              <w:rPr>
                <w:rFonts w:hint="default" w:ascii="宋体" w:hAnsi="宋体" w:eastAsia="宋体" w:cs="宋体"/>
                <w:spacing w:val="-2"/>
                <w:sz w:val="18"/>
                <w:szCs w:val="18"/>
                <w:lang w:val="en-US" w:eastAsia="zh-CN"/>
              </w:rPr>
            </w:pPr>
            <w:r>
              <w:rPr>
                <w:rFonts w:hint="eastAsia" w:ascii="宋体" w:hAnsi="宋体" w:eastAsia="宋体" w:cs="宋体"/>
                <w:spacing w:val="-2"/>
                <w:sz w:val="18"/>
                <w:szCs w:val="18"/>
                <w:lang w:val="en-US" w:eastAsia="zh-CN"/>
              </w:rPr>
              <w:t>会计事务</w:t>
            </w:r>
          </w:p>
        </w:tc>
      </w:tr>
    </w:tbl>
    <w:p>
      <w:pPr>
        <w:spacing w:line="221" w:lineRule="auto"/>
        <w:ind w:left="2618"/>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pPr>
    </w:p>
    <w:p>
      <w:pPr>
        <w:pStyle w:val="4"/>
        <w:bidi w:val="0"/>
        <w:rPr>
          <w:rFonts w:hint="default"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47" w:name="_Toc6478"/>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3.2课程建设质量</w:t>
      </w:r>
      <w:bookmarkEnd w:id="47"/>
    </w:p>
    <w:p>
      <w:pPr>
        <w:pStyle w:val="14"/>
        <w:spacing w:line="600" w:lineRule="exact"/>
        <w:ind w:firstLine="640" w:firstLineChars="200"/>
        <w:jc w:val="both"/>
        <w:rPr>
          <w:rFonts w:hint="eastAsia" w:ascii="仿宋_GB2312" w:eastAsia="仿宋_GB2312"/>
          <w:color w:val="000000"/>
          <w:sz w:val="32"/>
          <w:szCs w:val="32"/>
          <w:lang w:val="en-US" w:eastAsia="zh-CN"/>
        </w:rPr>
      </w:pPr>
      <w:r>
        <w:rPr>
          <w:rFonts w:hint="eastAsia" w:ascii="仿宋_GB2312" w:eastAsia="仿宋_GB2312"/>
          <w:color w:val="000000"/>
          <w:sz w:val="32"/>
          <w:szCs w:val="32"/>
        </w:rPr>
        <w:t>学校严格按照国家课程标准和计划开全课程</w:t>
      </w:r>
      <w:r>
        <w:rPr>
          <w:rFonts w:hint="eastAsia" w:ascii="仿宋_GB2312" w:eastAsia="仿宋_GB2312"/>
          <w:color w:val="000000"/>
          <w:sz w:val="32"/>
          <w:szCs w:val="32"/>
          <w:lang w:eastAsia="zh-CN"/>
        </w:rPr>
        <w:t>、</w:t>
      </w:r>
      <w:r>
        <w:rPr>
          <w:rFonts w:hint="eastAsia" w:ascii="仿宋_GB2312" w:eastAsia="仿宋_GB2312"/>
          <w:color w:val="000000"/>
          <w:sz w:val="32"/>
          <w:szCs w:val="32"/>
        </w:rPr>
        <w:t>开足课程。同时为了适应新时代职业教育发展，引领教学变革，紧跟“互联网</w:t>
      </w:r>
      <w:r>
        <w:rPr>
          <w:rFonts w:ascii="仿宋_GB2312" w:eastAsia="仿宋_GB2312"/>
          <w:color w:val="000000"/>
          <w:sz w:val="32"/>
          <w:szCs w:val="32"/>
        </w:rPr>
        <w:t>+教育”的发展趋势，大力开展在线精品课程建设工作，成功申报《导游业务》</w:t>
      </w:r>
      <w:r>
        <w:rPr>
          <w:rFonts w:hint="eastAsia" w:ascii="仿宋_GB2312" w:eastAsia="仿宋_GB2312"/>
          <w:color w:val="000000"/>
          <w:sz w:val="32"/>
          <w:szCs w:val="32"/>
          <w:lang w:eastAsia="zh-CN"/>
        </w:rPr>
        <w:t>、</w:t>
      </w:r>
      <w:r>
        <w:rPr>
          <w:rFonts w:ascii="仿宋_GB2312" w:eastAsia="仿宋_GB2312"/>
          <w:color w:val="000000"/>
          <w:sz w:val="32"/>
          <w:szCs w:val="32"/>
        </w:rPr>
        <w:t>《电子商务概论》</w:t>
      </w:r>
      <w:r>
        <w:rPr>
          <w:rFonts w:hint="eastAsia" w:ascii="仿宋_GB2312" w:eastAsia="仿宋_GB2312"/>
          <w:color w:val="000000"/>
          <w:sz w:val="32"/>
          <w:szCs w:val="32"/>
          <w:lang w:val="en-US" w:eastAsia="zh-CN"/>
        </w:rPr>
        <w:t>两</w:t>
      </w:r>
      <w:r>
        <w:rPr>
          <w:rFonts w:ascii="仿宋_GB2312" w:eastAsia="仿宋_GB2312"/>
          <w:color w:val="000000"/>
          <w:sz w:val="32"/>
          <w:szCs w:val="32"/>
        </w:rPr>
        <w:t>门精品课程参加省级在线精品课程比赛</w:t>
      </w:r>
      <w:r>
        <w:rPr>
          <w:rFonts w:hint="eastAsia" w:ascii="仿宋_GB2312" w:eastAsia="仿宋_GB2312"/>
          <w:color w:val="000000"/>
          <w:sz w:val="32"/>
          <w:szCs w:val="32"/>
          <w:lang w:eastAsia="zh-CN"/>
        </w:rPr>
        <w:t>。</w:t>
      </w:r>
      <w:r>
        <w:rPr>
          <w:rFonts w:hint="eastAsia" w:ascii="仿宋_GB2312" w:eastAsia="仿宋_GB2312"/>
          <w:color w:val="000000"/>
          <w:sz w:val="32"/>
          <w:szCs w:val="32"/>
          <w:lang w:val="en-US" w:eastAsia="zh-CN"/>
        </w:rPr>
        <w:t>其中《导游业务》成功获批为中职省级精品在线课程。</w:t>
      </w:r>
    </w:p>
    <w:p>
      <w:pPr>
        <w:pStyle w:val="14"/>
        <w:spacing w:line="600" w:lineRule="exact"/>
        <w:ind w:firstLine="412" w:firstLineChars="200"/>
        <w:jc w:val="center"/>
        <w:rPr>
          <w:rFonts w:hint="eastAsia" w:ascii="仿宋_GB2312" w:eastAsia="宋体"/>
          <w:color w:val="000000"/>
          <w:sz w:val="32"/>
          <w:szCs w:val="32"/>
          <w:lang w:val="en-US" w:eastAsia="zh-CN"/>
        </w:rPr>
      </w:pP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 xml:space="preserve">图5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2"/>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学年江西省中等职业学校在线精品课程</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信息</w:t>
      </w:r>
    </w:p>
    <w:p>
      <w:pPr>
        <w:pStyle w:val="14"/>
        <w:spacing w:line="600" w:lineRule="exact"/>
        <w:jc w:val="both"/>
        <w:rPr>
          <w:rFonts w:hint="default" w:ascii="仿宋_GB2312" w:eastAsia="仿宋_GB2312"/>
          <w:color w:val="000000"/>
          <w:sz w:val="32"/>
          <w:szCs w:val="32"/>
          <w:lang w:val="en-US" w:eastAsia="zh-CN"/>
        </w:rPr>
      </w:pPr>
      <w:r>
        <w:rPr>
          <w:rFonts w:ascii="宋体" w:hAnsi="宋体" w:eastAsia="宋体" w:cs="宋体"/>
          <w:sz w:val="24"/>
          <w:szCs w:val="24"/>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27305</wp:posOffset>
            </wp:positionV>
            <wp:extent cx="4962525" cy="2695575"/>
            <wp:effectExtent l="0" t="0" r="9525" b="9525"/>
            <wp:wrapSquare wrapText="bothSides"/>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24"/>
                    <a:stretch>
                      <a:fillRect/>
                    </a:stretch>
                  </pic:blipFill>
                  <pic:spPr>
                    <a:xfrm>
                      <a:off x="0" y="0"/>
                      <a:ext cx="4962525" cy="2695575"/>
                    </a:xfrm>
                    <a:prstGeom prst="rect">
                      <a:avLst/>
                    </a:prstGeom>
                    <a:noFill/>
                    <a:ln w="9525">
                      <a:noFill/>
                    </a:ln>
                  </pic:spPr>
                </pic:pic>
              </a:graphicData>
            </a:graphic>
          </wp:anchor>
        </w:drawing>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48" w:name="_Toc1064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3.3教学方法改革</w:t>
      </w:r>
      <w:bookmarkEnd w:id="48"/>
    </w:p>
    <w:p>
      <w:pPr>
        <w:spacing w:before="3" w:line="411" w:lineRule="auto"/>
        <w:ind w:right="96"/>
        <w:rPr>
          <w:rFonts w:hint="eastAsia" w:ascii="仿宋_GB2312" w:hAnsi="仿宋_GB2312" w:eastAsia="仿宋_GB2312" w:cs="仿宋_GB2312"/>
          <w:b/>
          <w:bCs/>
          <w:color w:val="0C0C0C"/>
          <w:kern w:val="0"/>
          <w:sz w:val="32"/>
          <w:szCs w:val="32"/>
          <w:lang w:val="en-US" w:eastAsia="zh-CN" w:bidi="ar-SA"/>
        </w:rPr>
      </w:pPr>
      <w:r>
        <w:rPr>
          <w:rFonts w:hint="eastAsia" w:ascii="仿宋_GB2312" w:hAnsi="仿宋_GB2312" w:eastAsia="仿宋_GB2312" w:cs="仿宋_GB2312"/>
          <w:b/>
          <w:bCs/>
          <w:color w:val="0C0C0C"/>
          <w:kern w:val="0"/>
          <w:sz w:val="32"/>
          <w:szCs w:val="32"/>
          <w:lang w:val="en-US" w:eastAsia="zh-CN" w:bidi="ar-SA"/>
        </w:rPr>
        <w:t>3.3.1创新教学方法</w:t>
      </w:r>
    </w:p>
    <w:p>
      <w:pPr>
        <w:keepNext w:val="0"/>
        <w:keepLines w:val="0"/>
        <w:pageBreakBefore w:val="0"/>
        <w:widowControl w:val="0"/>
        <w:kinsoku/>
        <w:wordWrap/>
        <w:overflowPunct/>
        <w:topLinePunct w:val="0"/>
        <w:autoSpaceDE/>
        <w:autoSpaceDN/>
        <w:bidi w:val="0"/>
        <w:adjustRightInd w:val="0"/>
        <w:snapToGrid w:val="0"/>
        <w:spacing w:line="540" w:lineRule="exact"/>
        <w:ind w:firstLine="640" w:firstLineChars="200"/>
        <w:textAlignment w:val="auto"/>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pPr>
      <w:r>
        <w:rPr>
          <w:rFonts w:hint="eastAsia" w:ascii="仿宋_GB2312" w:hAnsi="宋体" w:eastAsia="仿宋_GB2312" w:cs="宋体"/>
          <w:color w:val="000000"/>
          <w:kern w:val="0"/>
          <w:sz w:val="32"/>
          <w:szCs w:val="32"/>
          <w:lang w:val="en-US" w:eastAsia="zh-CN" w:bidi="ar-SA"/>
        </w:rPr>
        <w:t>疫情防控形式下，基于模块式、混合式教学理论导，立足职业教育类型属性，变革教学方式，充分利用信息化平台，立足专业人才培养目标，重点培养学生职业素养和可持续发展能力，融合 “1+X”职业技能等级证书要求，课证融合，构建组合灵活的模块化课程体系，实施多种教学方法，实行多元化、多形式考核评价，深入推进混合式教学模式，变革课堂形态。</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依托超星平台、互联网+进行教学方法改革，教师在课前利用平台将网上和课程相关的视频、新闻发布到学习通群聊，作为自己的教学内容，增强了课程的时效性。课堂教学以学生为主体，教师作为引导者，采用具体的任务来驱动教学，使学生在学习-总结-提高的过程中逐步发挥主动性、创造性，塑造自己的个性。</w:t>
      </w:r>
    </w:p>
    <w:p>
      <w:pPr>
        <w:spacing w:before="3" w:line="411" w:lineRule="auto"/>
        <w:ind w:right="96"/>
        <w:rPr>
          <w:rFonts w:hint="eastAsia" w:ascii="仿宋_GB2312" w:hAnsi="仿宋_GB2312" w:eastAsia="仿宋_GB2312" w:cs="仿宋_GB2312"/>
          <w:b/>
          <w:bCs/>
          <w:color w:val="0C0C0C"/>
          <w:kern w:val="0"/>
          <w:sz w:val="32"/>
          <w:szCs w:val="32"/>
          <w:lang w:val="en-US" w:eastAsia="zh-CN" w:bidi="ar-SA"/>
        </w:rPr>
      </w:pPr>
      <w:r>
        <w:rPr>
          <w:rFonts w:hint="eastAsia" w:ascii="仿宋_GB2312" w:hAnsi="仿宋_GB2312" w:eastAsia="仿宋_GB2312" w:cs="仿宋_GB2312"/>
          <w:b/>
          <w:bCs/>
          <w:color w:val="0C0C0C"/>
          <w:kern w:val="0"/>
          <w:sz w:val="32"/>
          <w:szCs w:val="32"/>
          <w:lang w:val="en-US" w:eastAsia="zh-CN" w:bidi="ar-SA"/>
        </w:rPr>
        <w:t>3.3.2培养模式改革</w:t>
      </w:r>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持续开展校企合作、产教融合工作，与鹰潭市瑞源精密制造有限公司、沃德尔科技有限公司、鹰潭市百盈光电有限公司、鹰潭市钱源眼镜有限公司签订订单班协议，目前已经成立了7个订单班和冠名班；学校专业教师和企业导师共同进行课程标准修订、评价模式改革、师资培训、场地建设等方面探讨，并就技能人才培养、教师进修培训、企业员工培训等方面，达成了合作意向。</w:t>
      </w:r>
    </w:p>
    <w:p>
      <w:pPr>
        <w:spacing w:before="3" w:line="411" w:lineRule="auto"/>
        <w:ind w:right="96"/>
        <w:rPr>
          <w:rFonts w:hint="eastAsia" w:ascii="仿宋_GB2312" w:hAnsi="仿宋_GB2312" w:eastAsia="仿宋_GB2312" w:cs="仿宋_GB2312"/>
          <w:b/>
          <w:bCs/>
          <w:color w:val="0C0C0C"/>
          <w:kern w:val="0"/>
          <w:sz w:val="32"/>
          <w:szCs w:val="32"/>
          <w:lang w:val="en-US" w:eastAsia="zh-CN" w:bidi="ar-SA"/>
        </w:rPr>
      </w:pPr>
      <w:r>
        <w:rPr>
          <w:rFonts w:hint="eastAsia" w:ascii="仿宋_GB2312" w:hAnsi="仿宋_GB2312" w:eastAsia="仿宋_GB2312" w:cs="仿宋_GB2312"/>
          <w:b/>
          <w:bCs/>
          <w:color w:val="0C0C0C"/>
          <w:kern w:val="0"/>
          <w:sz w:val="32"/>
          <w:szCs w:val="32"/>
          <w:lang w:val="en-US" w:eastAsia="zh-CN" w:bidi="ar-SA"/>
        </w:rPr>
        <w:t>3.3.3加强课程思政和思政课程建设</w:t>
      </w:r>
    </w:p>
    <w:p>
      <w:pPr>
        <w:keepNext w:val="0"/>
        <w:keepLines w:val="0"/>
        <w:pageBreakBefore w:val="0"/>
        <w:widowControl w:val="0"/>
        <w:kinsoku/>
        <w:wordWrap/>
        <w:overflowPunct/>
        <w:topLinePunct w:val="0"/>
        <w:autoSpaceDE/>
        <w:autoSpaceDN/>
        <w:bidi w:val="0"/>
        <w:adjustRightInd w:val="0"/>
        <w:snapToGrid w:val="0"/>
        <w:spacing w:line="540" w:lineRule="exact"/>
        <w:ind w:firstLine="640" w:firstLineChars="200"/>
        <w:textAlignment w:val="auto"/>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根据《关于深化新时代学校思想政治理论课改革创新的若干意见》，聚焦立德树人根本任务，深入推动习近平新时代中国特色社会主义思想进课堂教学环节。学校深入挖掘各类课程中蕴含的思政元素，将其融入课程教学各环节。在课堂教学中创新理论与实践的教学方式方法，将中华优秀传统文化、红色文化、抗疫精神等融入各类课程模块，在课堂中多使用课堂外的鲜活案例讲述抗疫故事、红色故事等。教师在课堂深入贯彻落实“课程思政”，讲好课，使得课堂更具思想性、理论性以及亲和力、针对性全面提升，学生理想信念更加坚定。</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校领导亲自参与课程思政建设，其中我校《导游业务》课程成功入选为2022年江西省职业教育课程示范项目。</w:t>
      </w:r>
    </w:p>
    <w:p>
      <w:pPr>
        <w:pStyle w:val="14"/>
        <w:spacing w:line="600" w:lineRule="exact"/>
        <w:ind w:firstLine="412" w:firstLineChars="200"/>
        <w:jc w:val="center"/>
        <w:rPr>
          <w:rFonts w:hint="eastAsia"/>
          <w:lang w:val="en-US" w:eastAsia="zh-CN"/>
        </w:rPr>
      </w:pP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图</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6</w:t>
      </w: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2"/>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学年江西省中等职业学校</w:t>
      </w:r>
      <w:r>
        <w:rPr>
          <w:rFonts w:hint="eastAsia" w:cs="宋体"/>
          <w:color w:val="1F4E79"/>
          <w:spacing w:val="-2"/>
          <w:sz w:val="21"/>
          <w:szCs w:val="21"/>
          <w:lang w:val="en-US" w:eastAsia="zh-CN"/>
          <w14:textOutline w14:w="3835" w14:cap="flat" w14:cmpd="sng">
            <w14:solidFill>
              <w14:srgbClr w14:val="1F4E79"/>
            </w14:solidFill>
            <w14:prstDash w14:val="solid"/>
            <w14:miter w14:val="0"/>
          </w14:textOutline>
        </w:rPr>
        <w:t>课程思政示范课程信息</w:t>
      </w:r>
    </w:p>
    <w:p>
      <w:pPr>
        <w:pStyle w:val="2"/>
        <w:rPr>
          <w:rFonts w:hint="eastAsia"/>
          <w:lang w:val="en-US" w:eastAsia="zh-CN"/>
        </w:rPr>
      </w:pPr>
      <w:r>
        <w:rPr>
          <w:rFonts w:hint="eastAsia"/>
          <w:lang w:val="en-US" w:eastAsia="zh-CN"/>
        </w:rPr>
        <w:drawing>
          <wp:inline distT="0" distB="0" distL="114300" distR="114300">
            <wp:extent cx="4755515" cy="3159125"/>
            <wp:effectExtent l="0" t="0" r="6985" b="3175"/>
            <wp:docPr id="41" name="图片 41" descr="微信图片编辑_2023011109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编辑_20230111095100"/>
                    <pic:cNvPicPr>
                      <a:picLocks noChangeAspect="1"/>
                    </pic:cNvPicPr>
                  </pic:nvPicPr>
                  <pic:blipFill>
                    <a:blip r:embed="rId25">
                      <a:lum bright="-6000"/>
                    </a:blip>
                    <a:srcRect t="5940" r="2793" b="34833"/>
                    <a:stretch>
                      <a:fillRect/>
                    </a:stretch>
                  </pic:blipFill>
                  <pic:spPr>
                    <a:xfrm>
                      <a:off x="0" y="0"/>
                      <a:ext cx="4755515" cy="3159125"/>
                    </a:xfrm>
                    <a:prstGeom prst="rect">
                      <a:avLst/>
                    </a:prstGeom>
                  </pic:spPr>
                </pic:pic>
              </a:graphicData>
            </a:graphic>
          </wp:inline>
        </w:drawing>
      </w:r>
    </w:p>
    <w:p>
      <w:pPr>
        <w:pStyle w:val="2"/>
        <w:rPr>
          <w:rFonts w:hint="default"/>
          <w:lang w:val="en-US" w:eastAsia="zh-CN"/>
        </w:rPr>
      </w:pPr>
    </w:p>
    <w:p>
      <w:pPr>
        <w:keepNext w:val="0"/>
        <w:keepLines w:val="0"/>
        <w:pageBreakBefore w:val="0"/>
        <w:widowControl w:val="0"/>
        <w:kinsoku/>
        <w:wordWrap/>
        <w:overflowPunct/>
        <w:topLinePunct w:val="0"/>
        <w:autoSpaceDE/>
        <w:autoSpaceDN/>
        <w:bidi w:val="0"/>
        <w:adjustRightInd w:val="0"/>
        <w:snapToGrid w:val="0"/>
        <w:spacing w:line="540" w:lineRule="exact"/>
        <w:ind w:firstLine="640" w:firstLineChars="200"/>
        <w:textAlignment w:val="auto"/>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学校针对思想政治课、公共基础课、专业课三类课程教学满意度进行了</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问卷</w:t>
      </w: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调查，其中，202</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2</w:t>
      </w: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 xml:space="preserve"> 级、202</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1</w:t>
      </w: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 xml:space="preserve"> 级在校生思想政治课满意度均超过 98%，学校每年思想政治课程满意度均在 95%以上，思政教学工作得到学生普遍认可。思想政治</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理论</w:t>
      </w: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学部开展了“思想政治宣传月”活动，</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校领导带头上思政课，思政课</w:t>
      </w:r>
      <w:r>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t>教师将习近平新时代中国特色社会主义思想、社会主义核心价值观、时事政治等内容列入教学计划、写入教案、进入教室</w:t>
      </w:r>
      <w:r>
        <w:rPr>
          <w:rFonts w:hint="eastAsia" w:ascii="Times New Roman" w:hAnsi="Times New Roman" w:eastAsia="仿宋_GB2312" w:cs="Times New Roman"/>
          <w:color w:val="000000" w:themeColor="text1"/>
          <w:kern w:val="2"/>
          <w:sz w:val="32"/>
          <w:szCs w:val="32"/>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540" w:lineRule="exact"/>
        <w:jc w:val="center"/>
        <w:textAlignment w:val="auto"/>
        <w:rPr>
          <w:rFonts w:hint="eastAsia" w:ascii="宋体" w:hAnsi="宋体" w:eastAsia="宋体" w:cs="宋体"/>
          <w:color w:val="1F4E79"/>
          <w:spacing w:val="-2"/>
          <w:kern w:val="0"/>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2"/>
          <w:kern w:val="0"/>
          <w:sz w:val="21"/>
          <w:szCs w:val="21"/>
          <w:lang w:val="en-US" w:eastAsia="zh-CN" w:bidi="ar-SA"/>
          <w14:textOutline w14:w="3835" w14:cap="flat" w14:cmpd="sng">
            <w14:solidFill>
              <w14:srgbClr w14:val="1F4E79"/>
            </w14:solidFill>
            <w14:prstDash w14:val="solid"/>
            <w14:miter w14:val="0"/>
          </w14:textOutline>
        </w:rPr>
        <w:drawing>
          <wp:anchor distT="0" distB="0" distL="114300" distR="114300" simplePos="0" relativeHeight="251661312" behindDoc="0" locked="0" layoutInCell="1" allowOverlap="1">
            <wp:simplePos x="0" y="0"/>
            <wp:positionH relativeFrom="column">
              <wp:posOffset>-69850</wp:posOffset>
            </wp:positionH>
            <wp:positionV relativeFrom="paragraph">
              <wp:posOffset>66675</wp:posOffset>
            </wp:positionV>
            <wp:extent cx="5266690" cy="4953635"/>
            <wp:effectExtent l="0" t="0" r="10160" b="18415"/>
            <wp:wrapSquare wrapText="bothSides"/>
            <wp:docPr id="11" name="图片 11" descr="ccdaf44eb6643079df911a8b2175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cdaf44eb6643079df911a8b2175c78"/>
                    <pic:cNvPicPr>
                      <a:picLocks noChangeAspect="1"/>
                    </pic:cNvPicPr>
                  </pic:nvPicPr>
                  <pic:blipFill>
                    <a:blip r:embed="rId26"/>
                    <a:stretch>
                      <a:fillRect/>
                    </a:stretch>
                  </pic:blipFill>
                  <pic:spPr>
                    <a:xfrm>
                      <a:off x="0" y="0"/>
                      <a:ext cx="5266690" cy="4953635"/>
                    </a:xfrm>
                    <a:prstGeom prst="rect">
                      <a:avLst/>
                    </a:prstGeom>
                  </pic:spPr>
                </pic:pic>
              </a:graphicData>
            </a:graphic>
          </wp:anchor>
        </w:drawing>
      </w:r>
      <w:r>
        <w:rPr>
          <w:rFonts w:hint="eastAsia" w:ascii="宋体" w:hAnsi="宋体" w:eastAsia="宋体" w:cs="宋体"/>
          <w:color w:val="1F4E79"/>
          <w:spacing w:val="-2"/>
          <w:kern w:val="0"/>
          <w:sz w:val="21"/>
          <w:szCs w:val="21"/>
          <w:lang w:val="en-US" w:eastAsia="zh-CN" w:bidi="ar-SA"/>
          <w14:textOutline w14:w="3835" w14:cap="flat" w14:cmpd="sng">
            <w14:solidFill>
              <w14:srgbClr w14:val="1F4E79"/>
            </w14:solidFill>
            <w14:prstDash w14:val="solid"/>
            <w14:miter w14:val="0"/>
          </w14:textOutline>
        </w:rPr>
        <w:t>图7 “二十大”精神进课堂</w:t>
      </w:r>
    </w:p>
    <w:p>
      <w:pPr>
        <w:pStyle w:val="2"/>
        <w:rPr>
          <w:rFonts w:hint="eastAsia"/>
          <w:lang w:val="en-US" w:eastAsia="zh-CN"/>
        </w:rPr>
      </w:pPr>
    </w:p>
    <w:p>
      <w:pPr>
        <w:spacing w:before="144" w:line="319" w:lineRule="auto"/>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3.4教材质量建设</w:t>
      </w:r>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学校严格执行《职业院校教材管理办法》和江西省教育厅《关于进一步规范校本教材、地方教材建设工作的通知》等文件精神，由教务处牵头制订了《教材管理办法》，明确了教材选用的程序和各方职责。2022年教务处根据《教材管理办法》，组织专业教师根据学期教学任务提出教材选用建议，向教材评审委员会提出选用申请。教材评审委员会成员召开审核会议，集体讨论决定教材选用，形成教材选用清单，经学校党委审核决议，公示后由学校图书馆统一进行采购。</w:t>
      </w:r>
    </w:p>
    <w:p>
      <w:pPr>
        <w:rPr>
          <w:rFonts w:hint="eastAsia"/>
          <w:lang w:val="en-US" w:eastAsia="zh-CN"/>
        </w:rPr>
      </w:pP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49" w:name="_Toc32066"/>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3.5数字化教学资源建设</w:t>
      </w:r>
      <w:bookmarkEnd w:id="49"/>
    </w:p>
    <w:p>
      <w:pPr>
        <w:pStyle w:val="5"/>
        <w:bidi w:val="0"/>
        <w:rPr>
          <w:rFonts w:hint="eastAsia" w:ascii="仿宋_GB2312" w:hAnsi="仿宋_GB2312" w:eastAsia="仿宋_GB2312" w:cs="仿宋_GB2312"/>
          <w:b/>
          <w:bCs/>
          <w:color w:val="0C0C0C"/>
          <w:kern w:val="0"/>
          <w:sz w:val="32"/>
          <w:szCs w:val="32"/>
          <w:lang w:val="en-US" w:eastAsia="zh-CN" w:bidi="ar-SA"/>
        </w:rPr>
      </w:pPr>
      <w:bookmarkStart w:id="50" w:name="_Toc29047"/>
      <w:r>
        <w:rPr>
          <w:rFonts w:hint="eastAsia" w:ascii="仿宋_GB2312" w:hAnsi="仿宋_GB2312" w:eastAsia="仿宋_GB2312" w:cs="仿宋_GB2312"/>
          <w:b/>
          <w:bCs/>
          <w:color w:val="0C0C0C"/>
          <w:kern w:val="0"/>
          <w:sz w:val="32"/>
          <w:szCs w:val="32"/>
          <w:lang w:val="en-US" w:eastAsia="zh-CN" w:bidi="ar-SA"/>
        </w:rPr>
        <w:t>3.5.1 积极推进智慧化校园建设进程</w:t>
      </w:r>
      <w:bookmarkEnd w:id="50"/>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优化信息化基础建设，目前学校已实现校园网万兆到楼宇、千兆到端的网络数据传输，出口宽带总带宽达到 3G，数据平台建设已初步建设完成，各项教学、管理、办公、安全、保障应用逐步展开，校园各业务平台数据统一性和完整性得到有效保障。</w:t>
      </w:r>
      <w:r>
        <w:rPr>
          <w:rFonts w:hint="eastAsia" w:ascii="仿宋_GB2312" w:hAnsi="宋体" w:eastAsia="仿宋_GB2312" w:cs="宋体"/>
          <w:color w:val="000000"/>
          <w:kern w:val="0"/>
          <w:sz w:val="32"/>
          <w:szCs w:val="32"/>
        </w:rPr>
        <w:t>智慧化教室、录播教室建设、网络扁平化建设、虚拟仿真实训等信息化建设项目稳步推进</w:t>
      </w:r>
      <w:r>
        <w:rPr>
          <w:rFonts w:hint="eastAsia" w:ascii="仿宋_GB2312" w:hAnsi="宋体" w:eastAsia="仿宋_GB2312" w:cs="宋体"/>
          <w:color w:val="000000"/>
          <w:kern w:val="0"/>
          <w:sz w:val="32"/>
          <w:szCs w:val="32"/>
          <w:lang w:val="en-US" w:eastAsia="zh-CN"/>
        </w:rPr>
        <w:t>中</w:t>
      </w:r>
      <w:r>
        <w:rPr>
          <w:rFonts w:hint="eastAsia" w:ascii="仿宋_GB2312" w:hAnsi="宋体" w:eastAsia="仿宋_GB2312" w:cs="宋体"/>
          <w:color w:val="000000"/>
          <w:kern w:val="0"/>
          <w:sz w:val="32"/>
          <w:szCs w:val="32"/>
        </w:rPr>
        <w:t>。</w:t>
      </w:r>
      <w:r>
        <w:rPr>
          <w:rFonts w:hint="eastAsia" w:ascii="仿宋_GB2312" w:hAnsi="宋体" w:eastAsia="仿宋_GB2312" w:cs="宋体"/>
          <w:color w:val="000000"/>
          <w:kern w:val="0"/>
          <w:sz w:val="32"/>
          <w:szCs w:val="32"/>
          <w:lang w:val="en-US" w:eastAsia="zh-CN" w:bidi="ar-SA"/>
        </w:rPr>
        <w:t>2021-2022 学年多媒体教室为</w:t>
      </w:r>
      <w:r>
        <w:rPr>
          <w:rFonts w:hint="eastAsia" w:ascii="仿宋_GB2312" w:hAnsi="宋体" w:eastAsia="仿宋_GB2312" w:cs="宋体"/>
          <w:color w:val="000000"/>
          <w:kern w:val="0"/>
          <w:sz w:val="32"/>
          <w:szCs w:val="32"/>
          <w:highlight w:val="none"/>
          <w:lang w:val="en-US" w:eastAsia="zh-CN" w:bidi="ar-SA"/>
        </w:rPr>
        <w:t>85</w:t>
      </w:r>
      <w:r>
        <w:rPr>
          <w:rFonts w:hint="eastAsia" w:ascii="仿宋_GB2312" w:hAnsi="宋体" w:eastAsia="仿宋_GB2312" w:cs="宋体"/>
          <w:color w:val="000000"/>
          <w:kern w:val="0"/>
          <w:sz w:val="32"/>
          <w:szCs w:val="32"/>
          <w:lang w:val="en-US" w:eastAsia="zh-CN" w:bidi="ar-SA"/>
        </w:rPr>
        <w:t>间，较上一学年增加</w:t>
      </w:r>
      <w:r>
        <w:rPr>
          <w:rFonts w:hint="eastAsia" w:ascii="仿宋_GB2312" w:hAnsi="宋体" w:eastAsia="仿宋_GB2312" w:cs="宋体"/>
          <w:color w:val="000000"/>
          <w:kern w:val="0"/>
          <w:sz w:val="32"/>
          <w:szCs w:val="32"/>
          <w:highlight w:val="none"/>
          <w:lang w:val="en-US" w:eastAsia="zh-CN" w:bidi="ar-SA"/>
        </w:rPr>
        <w:t xml:space="preserve"> 10间</w:t>
      </w:r>
      <w:r>
        <w:rPr>
          <w:rFonts w:hint="eastAsia" w:ascii="仿宋_GB2312" w:hAnsi="宋体" w:eastAsia="仿宋_GB2312" w:cs="宋体"/>
          <w:color w:val="000000"/>
          <w:kern w:val="0"/>
          <w:sz w:val="32"/>
          <w:szCs w:val="32"/>
          <w:lang w:val="en-US" w:eastAsia="zh-CN" w:bidi="ar-SA"/>
        </w:rPr>
        <w:t>，网络教学平台为 1 个，较上一学年增加 1 个，具体情况如表 3-6。</w:t>
      </w:r>
    </w:p>
    <w:p>
      <w:pPr>
        <w:pStyle w:val="2"/>
        <w:rPr>
          <w:rFonts w:hint="eastAsia" w:ascii="仿宋_GB2312" w:hAnsi="宋体" w:eastAsia="仿宋_GB2312" w:cs="宋体"/>
          <w:color w:val="000000"/>
          <w:kern w:val="0"/>
          <w:sz w:val="32"/>
          <w:szCs w:val="32"/>
          <w:lang w:val="en-US" w:eastAsia="zh-CN" w:bidi="ar-SA"/>
        </w:rPr>
      </w:pPr>
    </w:p>
    <w:p>
      <w:pPr>
        <w:rPr>
          <w:rFonts w:hint="eastAsia"/>
          <w:lang w:val="en-US" w:eastAsia="zh-CN"/>
        </w:rPr>
      </w:pPr>
    </w:p>
    <w:p>
      <w:pPr>
        <w:spacing w:before="234" w:line="220" w:lineRule="auto"/>
        <w:ind w:left="2512"/>
        <w:rPr>
          <w:rFonts w:ascii="宋体" w:hAnsi="宋体" w:eastAsia="宋体" w:cs="宋体"/>
          <w:sz w:val="21"/>
          <w:szCs w:val="21"/>
        </w:rPr>
      </w:pP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表</w:t>
      </w:r>
      <w:r>
        <w:rPr>
          <w:rFonts w:ascii="宋体" w:hAnsi="宋体" w:eastAsia="宋体" w:cs="宋体"/>
          <w:color w:val="1F4E79"/>
          <w:spacing w:val="-4"/>
          <w:sz w:val="21"/>
          <w:szCs w:val="21"/>
        </w:rPr>
        <w:t xml:space="preserve"> </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4</w:t>
      </w:r>
      <w:r>
        <w:rPr>
          <w:rFonts w:ascii="宋体" w:hAnsi="宋体" w:eastAsia="宋体" w:cs="宋体"/>
          <w:color w:val="1F4E79"/>
          <w:spacing w:val="-2"/>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多媒体及课程平台变化情况</w:t>
      </w:r>
    </w:p>
    <w:p>
      <w:pPr>
        <w:spacing w:line="128" w:lineRule="exact"/>
      </w:pPr>
    </w:p>
    <w:tbl>
      <w:tblPr>
        <w:tblStyle w:val="30"/>
        <w:tblW w:w="8085" w:type="dxa"/>
        <w:tblInd w:w="153"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2413"/>
        <w:gridCol w:w="1842"/>
        <w:gridCol w:w="1842"/>
        <w:gridCol w:w="1988"/>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75" w:hRule="atLeast"/>
        </w:trPr>
        <w:tc>
          <w:tcPr>
            <w:tcW w:w="2413" w:type="dxa"/>
            <w:tcBorders>
              <w:left w:val="single" w:color="FFFFFF" w:sz="2" w:space="0"/>
              <w:bottom w:val="nil"/>
              <w:right w:val="single" w:color="FFFFFF" w:sz="2" w:space="0"/>
              <w:tl2br w:val="single" w:color="FFFFFF" w:sz="2" w:space="0"/>
            </w:tcBorders>
            <w:shd w:val="clear" w:color="auto" w:fill="2E74B5"/>
            <w:vAlign w:val="top"/>
          </w:tcPr>
          <w:p>
            <w:pPr>
              <w:spacing w:before="29" w:line="220" w:lineRule="auto"/>
              <w:ind w:right="96"/>
              <w:jc w:val="right"/>
              <w:rPr>
                <w:rFonts w:ascii="宋体" w:hAnsi="宋体" w:eastAsia="宋体" w:cs="宋体"/>
                <w:sz w:val="18"/>
                <w:szCs w:val="18"/>
              </w:rPr>
            </w:pP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学</w:t>
            </w:r>
            <w:r>
              <w:rPr>
                <w:rFonts w:ascii="宋体" w:hAnsi="宋体" w:eastAsia="宋体" w:cs="宋体"/>
                <w:color w:val="FFFFFF"/>
                <w:spacing w:val="4"/>
                <w:sz w:val="18"/>
                <w:szCs w:val="18"/>
              </w:rPr>
              <w:t xml:space="preserve">    </w:t>
            </w:r>
            <w:r>
              <w:rPr>
                <w:rFonts w:ascii="宋体" w:hAnsi="宋体" w:eastAsia="宋体" w:cs="宋体"/>
                <w:color w:val="FFFFFF"/>
                <w:spacing w:val="4"/>
                <w:sz w:val="18"/>
                <w:szCs w:val="18"/>
                <w14:textOutline w14:w="3263" w14:cap="flat" w14:cmpd="sng">
                  <w14:solidFill>
                    <w14:srgbClr w14:val="FFFFFF"/>
                  </w14:solidFill>
                  <w14:prstDash w14:val="solid"/>
                  <w14:miter w14:val="0"/>
                </w14:textOutline>
              </w:rPr>
              <w:t>年</w:t>
            </w:r>
          </w:p>
          <w:p>
            <w:pPr>
              <w:spacing w:before="18" w:line="218" w:lineRule="auto"/>
              <w:ind w:left="114"/>
              <w:rPr>
                <w:rFonts w:ascii="宋体" w:hAnsi="宋体" w:eastAsia="宋体" w:cs="宋体"/>
                <w:sz w:val="18"/>
                <w:szCs w:val="18"/>
              </w:rPr>
            </w:pP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信息化资源</w:t>
            </w:r>
          </w:p>
        </w:tc>
        <w:tc>
          <w:tcPr>
            <w:tcW w:w="1842" w:type="dxa"/>
            <w:tcBorders>
              <w:left w:val="single" w:color="FFFFFF" w:sz="2" w:space="0"/>
              <w:bottom w:val="nil"/>
              <w:right w:val="single" w:color="FFFFFF" w:sz="2" w:space="0"/>
            </w:tcBorders>
            <w:shd w:val="clear" w:color="auto" w:fill="2E74B5"/>
            <w:vAlign w:val="top"/>
          </w:tcPr>
          <w:p>
            <w:pPr>
              <w:spacing w:before="130" w:line="220" w:lineRule="auto"/>
              <w:ind w:left="315"/>
              <w:rPr>
                <w:rFonts w:ascii="宋体" w:hAnsi="宋体" w:eastAsia="宋体" w:cs="宋体"/>
                <w:sz w:val="18"/>
                <w:szCs w:val="18"/>
              </w:rPr>
            </w:pPr>
            <w:r>
              <w:rPr>
                <w:rFonts w:ascii="宋体" w:hAnsi="宋体" w:eastAsia="宋体" w:cs="宋体"/>
                <w:color w:val="FFFFFF"/>
                <w:spacing w:val="-6"/>
                <w:sz w:val="18"/>
                <w:szCs w:val="18"/>
                <w14:textOutline w14:w="3263" w14:cap="flat" w14:cmpd="sng">
                  <w14:solidFill>
                    <w14:srgbClr w14:val="FFFFFF"/>
                  </w14:solidFill>
                  <w14:prstDash w14:val="solid"/>
                  <w14:miter w14:val="0"/>
                </w14:textOutline>
              </w:rPr>
              <w:t>2</w:t>
            </w:r>
            <w:r>
              <w:rPr>
                <w:rFonts w:ascii="宋体" w:hAnsi="宋体" w:eastAsia="宋体" w:cs="宋体"/>
                <w:color w:val="FFFFFF"/>
                <w:spacing w:val="-4"/>
                <w:sz w:val="18"/>
                <w:szCs w:val="18"/>
                <w14:textOutline w14:w="3263" w14:cap="flat" w14:cmpd="sng">
                  <w14:solidFill>
                    <w14:srgbClr w14:val="FFFFFF"/>
                  </w14:solidFill>
                  <w14:prstDash w14:val="solid"/>
                  <w14:miter w14:val="0"/>
                </w14:textOutline>
              </w:rPr>
              <w:t>0</w:t>
            </w:r>
            <w:r>
              <w:rPr>
                <w:rFonts w:hint="eastAsia" w:ascii="宋体" w:hAnsi="宋体" w:eastAsia="宋体" w:cs="宋体"/>
                <w:color w:val="FFFFFF"/>
                <w:spacing w:val="-3"/>
                <w:sz w:val="18"/>
                <w:szCs w:val="18"/>
                <w:lang w:val="en-US" w:eastAsia="zh-CN"/>
                <w14:textOutline w14:w="3263" w14:cap="flat" w14:cmpd="sng">
                  <w14:solidFill>
                    <w14:srgbClr w14:val="FFFFFF"/>
                  </w14:solidFill>
                  <w14:prstDash w14:val="solid"/>
                  <w14:miter w14:val="0"/>
                </w14:textOutline>
              </w:rPr>
              <w:t>20</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-202</w:t>
            </w:r>
            <w:r>
              <w:rPr>
                <w:rFonts w:hint="eastAsia" w:ascii="宋体" w:hAnsi="宋体" w:eastAsia="宋体" w:cs="宋体"/>
                <w:color w:val="FFFFFF"/>
                <w:spacing w:val="-3"/>
                <w:sz w:val="18"/>
                <w:szCs w:val="18"/>
                <w:lang w:val="en-US" w:eastAsia="zh-CN"/>
                <w14:textOutline w14:w="3263" w14:cap="flat" w14:cmpd="sng">
                  <w14:solidFill>
                    <w14:srgbClr w14:val="FFFFFF"/>
                  </w14:solidFill>
                  <w14:prstDash w14:val="solid"/>
                  <w14:miter w14:val="0"/>
                </w14:textOutline>
              </w:rPr>
              <w:t>1</w:t>
            </w:r>
            <w:r>
              <w:rPr>
                <w:rFonts w:ascii="宋体" w:hAnsi="宋体" w:eastAsia="宋体" w:cs="宋体"/>
                <w:color w:val="FFFFFF"/>
                <w:spacing w:val="-3"/>
                <w:sz w:val="18"/>
                <w:szCs w:val="18"/>
              </w:rPr>
              <w:t xml:space="preserve"> </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学年</w:t>
            </w:r>
          </w:p>
        </w:tc>
        <w:tc>
          <w:tcPr>
            <w:tcW w:w="1842" w:type="dxa"/>
            <w:tcBorders>
              <w:left w:val="single" w:color="FFFFFF" w:sz="2" w:space="0"/>
              <w:bottom w:val="nil"/>
              <w:right w:val="single" w:color="FFFFFF" w:sz="2" w:space="0"/>
            </w:tcBorders>
            <w:shd w:val="clear" w:color="auto" w:fill="2E74B5"/>
            <w:vAlign w:val="top"/>
          </w:tcPr>
          <w:p>
            <w:pPr>
              <w:spacing w:before="130" w:line="220" w:lineRule="auto"/>
              <w:ind w:left="316"/>
              <w:rPr>
                <w:rFonts w:ascii="宋体" w:hAnsi="宋体" w:eastAsia="宋体" w:cs="宋体"/>
                <w:sz w:val="18"/>
                <w:szCs w:val="18"/>
              </w:rPr>
            </w:pPr>
            <w:r>
              <w:rPr>
                <w:rFonts w:ascii="宋体" w:hAnsi="宋体" w:eastAsia="宋体" w:cs="宋体"/>
                <w:color w:val="FFFFFF"/>
                <w:spacing w:val="-6"/>
                <w:sz w:val="18"/>
                <w:szCs w:val="18"/>
                <w14:textOutline w14:w="3263" w14:cap="flat" w14:cmpd="sng">
                  <w14:solidFill>
                    <w14:srgbClr w14:val="FFFFFF"/>
                  </w14:solidFill>
                  <w14:prstDash w14:val="solid"/>
                  <w14:miter w14:val="0"/>
                </w14:textOutline>
              </w:rPr>
              <w:t>2</w:t>
            </w:r>
            <w:r>
              <w:rPr>
                <w:rFonts w:ascii="宋体" w:hAnsi="宋体" w:eastAsia="宋体" w:cs="宋体"/>
                <w:color w:val="FFFFFF"/>
                <w:spacing w:val="-4"/>
                <w:sz w:val="18"/>
                <w:szCs w:val="18"/>
                <w14:textOutline w14:w="3263" w14:cap="flat" w14:cmpd="sng">
                  <w14:solidFill>
                    <w14:srgbClr w14:val="FFFFFF"/>
                  </w14:solidFill>
                  <w14:prstDash w14:val="solid"/>
                  <w14:miter w14:val="0"/>
                </w14:textOutline>
              </w:rPr>
              <w:t>0</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2</w:t>
            </w:r>
            <w:r>
              <w:rPr>
                <w:rFonts w:hint="eastAsia" w:ascii="宋体" w:hAnsi="宋体" w:eastAsia="宋体" w:cs="宋体"/>
                <w:color w:val="FFFFFF"/>
                <w:spacing w:val="-3"/>
                <w:sz w:val="18"/>
                <w:szCs w:val="18"/>
                <w:lang w:val="en-US" w:eastAsia="zh-CN"/>
                <w14:textOutline w14:w="3263" w14:cap="flat" w14:cmpd="sng">
                  <w14:solidFill>
                    <w14:srgbClr w14:val="FFFFFF"/>
                  </w14:solidFill>
                  <w14:prstDash w14:val="solid"/>
                  <w14:miter w14:val="0"/>
                </w14:textOutline>
              </w:rPr>
              <w:t>1</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-20</w:t>
            </w:r>
            <w:r>
              <w:rPr>
                <w:rFonts w:hint="eastAsia" w:ascii="宋体" w:hAnsi="宋体" w:eastAsia="宋体" w:cs="宋体"/>
                <w:color w:val="FFFFFF"/>
                <w:spacing w:val="-3"/>
                <w:sz w:val="18"/>
                <w:szCs w:val="18"/>
                <w:lang w:val="en-US" w:eastAsia="zh-CN"/>
                <w14:textOutline w14:w="3263" w14:cap="flat" w14:cmpd="sng">
                  <w14:solidFill>
                    <w14:srgbClr w14:val="FFFFFF"/>
                  </w14:solidFill>
                  <w14:prstDash w14:val="solid"/>
                  <w14:miter w14:val="0"/>
                </w14:textOutline>
              </w:rPr>
              <w:t>22</w:t>
            </w:r>
            <w:r>
              <w:rPr>
                <w:rFonts w:ascii="宋体" w:hAnsi="宋体" w:eastAsia="宋体" w:cs="宋体"/>
                <w:color w:val="FFFFFF"/>
                <w:spacing w:val="-3"/>
                <w:sz w:val="18"/>
                <w:szCs w:val="18"/>
              </w:rPr>
              <w:t xml:space="preserve"> </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学年</w:t>
            </w:r>
          </w:p>
        </w:tc>
        <w:tc>
          <w:tcPr>
            <w:tcW w:w="1988" w:type="dxa"/>
            <w:tcBorders>
              <w:left w:val="single" w:color="FFFFFF" w:sz="2" w:space="0"/>
              <w:bottom w:val="nil"/>
              <w:right w:val="single" w:color="FFFFFF" w:sz="2" w:space="0"/>
            </w:tcBorders>
            <w:shd w:val="clear" w:color="auto" w:fill="2E74B5"/>
            <w:vAlign w:val="top"/>
          </w:tcPr>
          <w:p>
            <w:pPr>
              <w:spacing w:before="130" w:line="221" w:lineRule="auto"/>
              <w:ind w:left="654"/>
              <w:rPr>
                <w:rFonts w:ascii="宋体" w:hAnsi="宋体" w:eastAsia="宋体" w:cs="宋体"/>
                <w:sz w:val="18"/>
                <w:szCs w:val="18"/>
              </w:rPr>
            </w:pPr>
            <w:r>
              <w:rPr>
                <w:rFonts w:ascii="宋体" w:hAnsi="宋体" w:eastAsia="宋体" w:cs="宋体"/>
                <w:color w:val="FFFFFF"/>
                <w:spacing w:val="-8"/>
                <w:sz w:val="18"/>
                <w:szCs w:val="18"/>
                <w14:textOutline w14:w="3263" w14:cap="flat" w14:cmpd="sng">
                  <w14:solidFill>
                    <w14:srgbClr w14:val="FFFFFF"/>
                  </w14:solidFill>
                  <w14:prstDash w14:val="solid"/>
                  <w14:miter w14:val="0"/>
                </w14:textOutline>
              </w:rPr>
              <w:t>同</w:t>
            </w: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比增加</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PrEx>
        <w:trPr>
          <w:trHeight w:val="236" w:hRule="atLeast"/>
        </w:trPr>
        <w:tc>
          <w:tcPr>
            <w:tcW w:w="2413" w:type="dxa"/>
            <w:tcBorders>
              <w:top w:val="nil"/>
              <w:left w:val="single" w:color="5B9BD5" w:themeColor="accent1" w:sz="4" w:space="0"/>
              <w:bottom w:val="single" w:color="5B9BD5" w:themeColor="accent1" w:sz="4" w:space="0"/>
              <w:right w:val="single" w:color="5B9BD5" w:themeColor="accent1" w:sz="4" w:space="0"/>
            </w:tcBorders>
            <w:shd w:val="clear" w:color="auto" w:fill="BDD6EE"/>
            <w:vAlign w:val="top"/>
          </w:tcPr>
          <w:p>
            <w:pPr>
              <w:spacing w:before="27" w:line="214" w:lineRule="auto"/>
              <w:ind w:left="768"/>
              <w:rPr>
                <w:rFonts w:ascii="宋体" w:hAnsi="宋体" w:eastAsia="宋体" w:cs="宋体"/>
                <w:sz w:val="18"/>
                <w:szCs w:val="18"/>
              </w:rPr>
            </w:pPr>
            <w:r>
              <w:rPr>
                <w:rFonts w:ascii="宋体" w:hAnsi="宋体" w:eastAsia="宋体" w:cs="宋体"/>
                <w:spacing w:val="-4"/>
                <w:sz w:val="18"/>
                <w:szCs w:val="18"/>
              </w:rPr>
              <w:t>多</w:t>
            </w:r>
            <w:r>
              <w:rPr>
                <w:rFonts w:ascii="宋体" w:hAnsi="宋体" w:eastAsia="宋体" w:cs="宋体"/>
                <w:spacing w:val="-3"/>
                <w:sz w:val="18"/>
                <w:szCs w:val="18"/>
              </w:rPr>
              <w:t>媒</w:t>
            </w:r>
            <w:r>
              <w:rPr>
                <w:rFonts w:ascii="宋体" w:hAnsi="宋体" w:eastAsia="宋体" w:cs="宋体"/>
                <w:spacing w:val="-2"/>
                <w:sz w:val="18"/>
                <w:szCs w:val="18"/>
              </w:rPr>
              <w:t>体教室</w:t>
            </w:r>
          </w:p>
        </w:tc>
        <w:tc>
          <w:tcPr>
            <w:tcW w:w="1842" w:type="dxa"/>
            <w:tcBorders>
              <w:top w:val="nil"/>
              <w:left w:val="single" w:color="5B9BD5" w:themeColor="accent1" w:sz="4" w:space="0"/>
              <w:bottom w:val="single" w:color="5B9BD5" w:themeColor="accent1" w:sz="4" w:space="0"/>
              <w:right w:val="single" w:color="5B9BD5" w:themeColor="accent1" w:sz="4" w:space="0"/>
            </w:tcBorders>
            <w:vAlign w:val="top"/>
          </w:tcPr>
          <w:p>
            <w:pPr>
              <w:spacing w:before="27" w:line="214" w:lineRule="auto"/>
              <w:ind w:left="691"/>
              <w:rPr>
                <w:rFonts w:ascii="宋体" w:hAnsi="宋体" w:eastAsia="宋体" w:cs="宋体"/>
                <w:sz w:val="18"/>
                <w:szCs w:val="18"/>
              </w:rPr>
            </w:pPr>
            <w:r>
              <w:rPr>
                <w:rFonts w:ascii="宋体" w:hAnsi="宋体" w:eastAsia="宋体" w:cs="宋体"/>
                <w:spacing w:val="-8"/>
                <w:sz w:val="18"/>
                <w:szCs w:val="18"/>
              </w:rPr>
              <w:t xml:space="preserve"> </w:t>
            </w:r>
            <w:r>
              <w:rPr>
                <w:rFonts w:hint="eastAsia" w:ascii="宋体" w:hAnsi="宋体" w:eastAsia="宋体" w:cs="宋体"/>
                <w:spacing w:val="-8"/>
                <w:sz w:val="18"/>
                <w:szCs w:val="18"/>
                <w:lang w:val="en-US" w:eastAsia="zh-CN"/>
              </w:rPr>
              <w:t>75</w:t>
            </w:r>
            <w:r>
              <w:rPr>
                <w:rFonts w:ascii="宋体" w:hAnsi="宋体" w:eastAsia="宋体" w:cs="宋体"/>
                <w:spacing w:val="-8"/>
                <w:sz w:val="18"/>
                <w:szCs w:val="18"/>
              </w:rPr>
              <w:t>间</w:t>
            </w:r>
          </w:p>
        </w:tc>
        <w:tc>
          <w:tcPr>
            <w:tcW w:w="1842" w:type="dxa"/>
            <w:tcBorders>
              <w:top w:val="nil"/>
              <w:left w:val="single" w:color="5B9BD5" w:themeColor="accent1" w:sz="4" w:space="0"/>
              <w:bottom w:val="single" w:color="5B9BD5" w:themeColor="accent1" w:sz="4" w:space="0"/>
              <w:right w:val="single" w:color="5B9BD5" w:themeColor="accent1" w:sz="4" w:space="0"/>
            </w:tcBorders>
            <w:vAlign w:val="top"/>
          </w:tcPr>
          <w:p>
            <w:pPr>
              <w:spacing w:before="27" w:line="214" w:lineRule="auto"/>
              <w:ind w:left="692"/>
              <w:rPr>
                <w:rFonts w:ascii="宋体" w:hAnsi="宋体" w:eastAsia="宋体" w:cs="宋体"/>
                <w:sz w:val="18"/>
                <w:szCs w:val="18"/>
              </w:rPr>
            </w:pPr>
            <w:r>
              <w:rPr>
                <w:rFonts w:hint="eastAsia" w:ascii="宋体" w:hAnsi="宋体" w:eastAsia="宋体" w:cs="宋体"/>
                <w:spacing w:val="-8"/>
                <w:sz w:val="18"/>
                <w:szCs w:val="18"/>
                <w:lang w:val="en-US" w:eastAsia="zh-CN"/>
              </w:rPr>
              <w:t>85</w:t>
            </w:r>
            <w:r>
              <w:rPr>
                <w:rFonts w:ascii="宋体" w:hAnsi="宋体" w:eastAsia="宋体" w:cs="宋体"/>
                <w:spacing w:val="-8"/>
                <w:sz w:val="18"/>
                <w:szCs w:val="18"/>
              </w:rPr>
              <w:t xml:space="preserve"> 间</w:t>
            </w:r>
          </w:p>
        </w:tc>
        <w:tc>
          <w:tcPr>
            <w:tcW w:w="1988" w:type="dxa"/>
            <w:tcBorders>
              <w:top w:val="nil"/>
              <w:left w:val="single" w:color="5B9BD5" w:themeColor="accent1" w:sz="4" w:space="0"/>
              <w:bottom w:val="single" w:color="5B9BD5" w:themeColor="accent1" w:sz="4" w:space="0"/>
              <w:right w:val="single" w:color="5B9BD5" w:themeColor="accent1" w:sz="4" w:space="0"/>
            </w:tcBorders>
            <w:vAlign w:val="top"/>
          </w:tcPr>
          <w:p>
            <w:pPr>
              <w:spacing w:before="29" w:line="212" w:lineRule="auto"/>
              <w:ind w:left="768"/>
              <w:rPr>
                <w:rFonts w:hint="eastAsia" w:ascii="宋体" w:hAnsi="宋体" w:eastAsia="宋体" w:cs="宋体"/>
                <w:spacing w:val="-16"/>
                <w:sz w:val="18"/>
                <w:szCs w:val="18"/>
                <w:lang w:val="en-US" w:eastAsia="zh-CN"/>
              </w:rPr>
            </w:pPr>
            <w:r>
              <w:rPr>
                <w:rFonts w:hint="eastAsia" w:ascii="宋体" w:hAnsi="宋体" w:eastAsia="宋体" w:cs="宋体"/>
                <w:spacing w:val="-16"/>
                <w:sz w:val="18"/>
                <w:szCs w:val="18"/>
                <w:lang w:val="en-US" w:eastAsia="zh-CN"/>
              </w:rPr>
              <w:t>10  间</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36" w:hRule="atLeast"/>
        </w:trPr>
        <w:tc>
          <w:tcPr>
            <w:tcW w:w="2413"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shd w:val="clear" w:color="auto" w:fill="BDD6EE"/>
            <w:vAlign w:val="top"/>
          </w:tcPr>
          <w:p>
            <w:pPr>
              <w:spacing w:before="29" w:line="212" w:lineRule="auto"/>
              <w:ind w:left="685"/>
              <w:rPr>
                <w:rFonts w:ascii="宋体" w:hAnsi="宋体" w:eastAsia="宋体" w:cs="宋体"/>
                <w:sz w:val="18"/>
                <w:szCs w:val="18"/>
              </w:rPr>
            </w:pPr>
            <w:r>
              <w:rPr>
                <w:rFonts w:ascii="宋体" w:hAnsi="宋体" w:eastAsia="宋体" w:cs="宋体"/>
                <w:spacing w:val="-3"/>
                <w:sz w:val="18"/>
                <w:szCs w:val="18"/>
              </w:rPr>
              <w:t>网络教学平台</w:t>
            </w:r>
          </w:p>
        </w:tc>
        <w:tc>
          <w:tcPr>
            <w:tcW w:w="1842"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29" w:line="212" w:lineRule="auto"/>
              <w:ind w:left="768"/>
              <w:rPr>
                <w:rFonts w:ascii="宋体" w:hAnsi="宋体" w:eastAsia="宋体" w:cs="宋体"/>
                <w:sz w:val="18"/>
                <w:szCs w:val="18"/>
              </w:rPr>
            </w:pPr>
            <w:r>
              <w:rPr>
                <w:rFonts w:hint="eastAsia" w:ascii="宋体" w:hAnsi="宋体" w:eastAsia="宋体" w:cs="宋体"/>
                <w:spacing w:val="-16"/>
                <w:sz w:val="18"/>
                <w:szCs w:val="18"/>
                <w:lang w:val="en-US" w:eastAsia="zh-CN"/>
              </w:rPr>
              <w:t>0</w:t>
            </w:r>
            <w:r>
              <w:rPr>
                <w:rFonts w:ascii="宋体" w:hAnsi="宋体" w:eastAsia="宋体" w:cs="宋体"/>
                <w:spacing w:val="-15"/>
                <w:sz w:val="18"/>
                <w:szCs w:val="18"/>
              </w:rPr>
              <w:t>个</w:t>
            </w:r>
          </w:p>
        </w:tc>
        <w:tc>
          <w:tcPr>
            <w:tcW w:w="1842"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29" w:line="212" w:lineRule="auto"/>
              <w:ind w:left="771"/>
              <w:rPr>
                <w:rFonts w:ascii="宋体" w:hAnsi="宋体" w:eastAsia="宋体" w:cs="宋体"/>
                <w:sz w:val="18"/>
                <w:szCs w:val="18"/>
              </w:rPr>
            </w:pPr>
            <w:r>
              <w:rPr>
                <w:rFonts w:hint="eastAsia" w:ascii="宋体" w:hAnsi="宋体" w:eastAsia="宋体" w:cs="宋体"/>
                <w:spacing w:val="-17"/>
                <w:sz w:val="18"/>
                <w:szCs w:val="18"/>
                <w:lang w:val="en-US" w:eastAsia="zh-CN"/>
              </w:rPr>
              <w:t>1</w:t>
            </w:r>
            <w:r>
              <w:rPr>
                <w:rFonts w:ascii="宋体" w:hAnsi="宋体" w:eastAsia="宋体" w:cs="宋体"/>
                <w:spacing w:val="-15"/>
                <w:sz w:val="18"/>
                <w:szCs w:val="18"/>
              </w:rPr>
              <w:t xml:space="preserve"> 个</w:t>
            </w:r>
          </w:p>
        </w:tc>
        <w:tc>
          <w:tcPr>
            <w:tcW w:w="1988"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29" w:line="212" w:lineRule="auto"/>
              <w:ind w:left="768"/>
              <w:rPr>
                <w:rFonts w:hint="eastAsia" w:ascii="宋体" w:hAnsi="宋体" w:eastAsia="宋体" w:cs="宋体"/>
                <w:spacing w:val="-16"/>
                <w:sz w:val="18"/>
                <w:szCs w:val="18"/>
                <w:lang w:val="en-US" w:eastAsia="zh-CN"/>
              </w:rPr>
            </w:pPr>
            <w:r>
              <w:rPr>
                <w:rFonts w:hint="eastAsia" w:ascii="宋体" w:hAnsi="宋体" w:eastAsia="宋体" w:cs="宋体"/>
                <w:spacing w:val="-16"/>
                <w:sz w:val="18"/>
                <w:szCs w:val="18"/>
                <w:lang w:val="en-US" w:eastAsia="zh-CN"/>
              </w:rPr>
              <w:t>1 个</w:t>
            </w:r>
          </w:p>
        </w:tc>
      </w:tr>
    </w:tbl>
    <w:p>
      <w:pPr>
        <w:pStyle w:val="5"/>
        <w:bidi w:val="0"/>
        <w:rPr>
          <w:rFonts w:hint="eastAsia" w:ascii="仿宋_GB2312" w:hAnsi="仿宋_GB2312" w:eastAsia="仿宋_GB2312" w:cs="仿宋_GB2312"/>
          <w:b/>
          <w:bCs/>
          <w:color w:val="0C0C0C"/>
          <w:kern w:val="0"/>
          <w:sz w:val="32"/>
          <w:szCs w:val="32"/>
          <w:lang w:val="en-US" w:eastAsia="zh-CN" w:bidi="ar-SA"/>
        </w:rPr>
      </w:pPr>
      <w:bookmarkStart w:id="51" w:name="_Toc4330"/>
    </w:p>
    <w:p>
      <w:pPr>
        <w:pStyle w:val="5"/>
        <w:bidi w:val="0"/>
        <w:rPr>
          <w:rFonts w:hint="eastAsia" w:ascii="仿宋_GB2312" w:hAnsi="仿宋_GB2312" w:eastAsia="仿宋_GB2312" w:cs="仿宋_GB2312"/>
          <w:b/>
          <w:bCs/>
          <w:color w:val="0C0C0C"/>
          <w:kern w:val="0"/>
          <w:sz w:val="32"/>
          <w:szCs w:val="32"/>
          <w:lang w:val="en-US" w:eastAsia="zh-CN" w:bidi="ar-SA"/>
        </w:rPr>
      </w:pPr>
      <w:r>
        <w:rPr>
          <w:rFonts w:hint="eastAsia" w:ascii="仿宋_GB2312" w:hAnsi="仿宋_GB2312" w:eastAsia="仿宋_GB2312" w:cs="仿宋_GB2312"/>
          <w:b/>
          <w:bCs/>
          <w:color w:val="0C0C0C"/>
          <w:kern w:val="0"/>
          <w:sz w:val="32"/>
          <w:szCs w:val="32"/>
          <w:lang w:val="en-US" w:eastAsia="zh-CN" w:bidi="ar-SA"/>
        </w:rPr>
        <w:t>3.5.2教学资源平台的应用</w:t>
      </w:r>
      <w:bookmarkEnd w:id="51"/>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2021-2022学年我校继续依托教学平台在教学中多渠道地开发和利用教学资源，极大地便捷了教师的教学手段，加速了教学经验的富集与共享传播，教学轨迹得以数据化。具体建课程情况见下表 ：</w:t>
      </w:r>
    </w:p>
    <w:p>
      <w:pPr>
        <w:spacing w:before="185" w:line="221" w:lineRule="auto"/>
        <w:ind w:left="3192"/>
        <w:rPr>
          <w:rFonts w:ascii="宋体" w:hAnsi="宋体" w:eastAsia="宋体" w:cs="宋体"/>
          <w:sz w:val="21"/>
          <w:szCs w:val="21"/>
        </w:rPr>
      </w:pP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3"/>
          <w:sz w:val="21"/>
          <w:szCs w:val="21"/>
          <w:lang w:val="en-US" w:eastAsia="zh-CN"/>
          <w14:textOutline w14:w="3835" w14:cap="flat" w14:cmpd="sng">
            <w14:solidFill>
              <w14:srgbClr w14:val="1F4E79"/>
            </w14:solidFill>
            <w14:prstDash w14:val="solid"/>
            <w14:miter w14:val="0"/>
          </w14:textOutline>
        </w:rPr>
        <w:t xml:space="preserve">5 </w:t>
      </w:r>
      <w:r>
        <w:rPr>
          <w:rFonts w:ascii="宋体" w:hAnsi="宋体" w:eastAsia="宋体" w:cs="宋体"/>
          <w:color w:val="1F4E79"/>
          <w:spacing w:val="-3"/>
          <w:sz w:val="21"/>
          <w:szCs w:val="21"/>
        </w:rPr>
        <w:t xml:space="preserve"> </w:t>
      </w:r>
      <w:r>
        <w:rPr>
          <w:rFonts w:ascii="宋体" w:hAnsi="宋体" w:eastAsia="宋体" w:cs="宋体"/>
          <w:color w:val="1F4E79"/>
          <w:spacing w:val="-3"/>
          <w:sz w:val="21"/>
          <w:szCs w:val="21"/>
          <w14:textOutline w14:w="3835" w14:cap="flat" w14:cmpd="sng">
            <w14:solidFill>
              <w14:srgbClr w14:val="1F4E79"/>
            </w14:solidFill>
            <w14:prstDash w14:val="solid"/>
            <w14:miter w14:val="0"/>
          </w14:textOutline>
        </w:rPr>
        <w:t>教学平台建课情况表</w:t>
      </w:r>
    </w:p>
    <w:p>
      <w:pPr>
        <w:spacing w:line="124" w:lineRule="exact"/>
      </w:pPr>
    </w:p>
    <w:tbl>
      <w:tblPr>
        <w:tblStyle w:val="30"/>
        <w:tblW w:w="8526" w:type="dxa"/>
        <w:tblInd w:w="2"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1813"/>
        <w:gridCol w:w="2876"/>
        <w:gridCol w:w="2223"/>
        <w:gridCol w:w="1614"/>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84" w:hRule="atLeast"/>
        </w:trPr>
        <w:tc>
          <w:tcPr>
            <w:tcW w:w="1813" w:type="dxa"/>
            <w:tcBorders>
              <w:left w:val="single" w:color="FFFFFF" w:sz="2" w:space="0"/>
              <w:bottom w:val="single" w:color="FFFFFF" w:sz="2" w:space="0"/>
              <w:right w:val="single" w:color="FFFFFF" w:sz="2" w:space="0"/>
            </w:tcBorders>
            <w:shd w:val="clear" w:color="auto" w:fill="2E74B5"/>
            <w:vAlign w:val="top"/>
          </w:tcPr>
          <w:p>
            <w:pPr>
              <w:spacing w:before="34" w:line="220" w:lineRule="auto"/>
              <w:ind w:left="371"/>
              <w:rPr>
                <w:rFonts w:ascii="宋体" w:hAnsi="宋体" w:eastAsia="宋体" w:cs="宋体"/>
                <w:sz w:val="18"/>
                <w:szCs w:val="18"/>
              </w:rPr>
            </w:pP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教学平台名</w:t>
            </w:r>
            <w:r>
              <w:rPr>
                <w:rFonts w:ascii="宋体" w:hAnsi="宋体" w:eastAsia="宋体" w:cs="宋体"/>
                <w:color w:val="FFFFFF"/>
                <w:sz w:val="18"/>
                <w:szCs w:val="18"/>
                <w14:textOutline w14:w="3263" w14:cap="flat" w14:cmpd="sng">
                  <w14:solidFill>
                    <w14:srgbClr w14:val="FFFFFF"/>
                  </w14:solidFill>
                  <w14:prstDash w14:val="solid"/>
                  <w14:miter w14:val="0"/>
                </w14:textOutline>
              </w:rPr>
              <w:t>称</w:t>
            </w:r>
          </w:p>
        </w:tc>
        <w:tc>
          <w:tcPr>
            <w:tcW w:w="2876" w:type="dxa"/>
            <w:tcBorders>
              <w:left w:val="single" w:color="FFFFFF" w:sz="2" w:space="0"/>
              <w:bottom w:val="single" w:color="FFFFFF" w:sz="2" w:space="0"/>
              <w:right w:val="single" w:color="FFFFFF" w:sz="2" w:space="0"/>
            </w:tcBorders>
            <w:shd w:val="clear" w:color="auto" w:fill="2E74B5"/>
            <w:vAlign w:val="top"/>
          </w:tcPr>
          <w:p>
            <w:pPr>
              <w:spacing w:before="34" w:line="220" w:lineRule="auto"/>
              <w:ind w:left="831"/>
              <w:rPr>
                <w:rFonts w:ascii="宋体" w:hAnsi="宋体" w:eastAsia="宋体" w:cs="宋体"/>
                <w:sz w:val="18"/>
                <w:szCs w:val="18"/>
              </w:rPr>
            </w:pPr>
            <w:r>
              <w:rPr>
                <w:rFonts w:ascii="宋体" w:hAnsi="宋体" w:eastAsia="宋体" w:cs="宋体"/>
                <w:color w:val="FFFFFF"/>
                <w:spacing w:val="-6"/>
                <w:sz w:val="18"/>
                <w:szCs w:val="18"/>
                <w14:textOutline w14:w="3263" w14:cap="flat" w14:cmpd="sng">
                  <w14:solidFill>
                    <w14:srgbClr w14:val="FFFFFF"/>
                  </w14:solidFill>
                  <w14:prstDash w14:val="solid"/>
                  <w14:miter w14:val="0"/>
                </w14:textOutline>
              </w:rPr>
              <w:t>2</w:t>
            </w:r>
            <w:r>
              <w:rPr>
                <w:rFonts w:ascii="宋体" w:hAnsi="宋体" w:eastAsia="宋体" w:cs="宋体"/>
                <w:color w:val="FFFFFF"/>
                <w:spacing w:val="-4"/>
                <w:sz w:val="18"/>
                <w:szCs w:val="18"/>
                <w14:textOutline w14:w="3263" w14:cap="flat" w14:cmpd="sng">
                  <w14:solidFill>
                    <w14:srgbClr w14:val="FFFFFF"/>
                  </w14:solidFill>
                  <w14:prstDash w14:val="solid"/>
                  <w14:miter w14:val="0"/>
                </w14:textOutline>
              </w:rPr>
              <w:t>0</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19-2020</w:t>
            </w:r>
            <w:r>
              <w:rPr>
                <w:rFonts w:ascii="宋体" w:hAnsi="宋体" w:eastAsia="宋体" w:cs="宋体"/>
                <w:color w:val="FFFFFF"/>
                <w:spacing w:val="-3"/>
                <w:sz w:val="18"/>
                <w:szCs w:val="18"/>
              </w:rPr>
              <w:t xml:space="preserve"> </w:t>
            </w:r>
            <w:r>
              <w:rPr>
                <w:rFonts w:ascii="宋体" w:hAnsi="宋体" w:eastAsia="宋体" w:cs="宋体"/>
                <w:color w:val="FFFFFF"/>
                <w:spacing w:val="-3"/>
                <w:sz w:val="18"/>
                <w:szCs w:val="18"/>
                <w14:textOutline w14:w="3263" w14:cap="flat" w14:cmpd="sng">
                  <w14:solidFill>
                    <w14:srgbClr w14:val="FFFFFF"/>
                  </w14:solidFill>
                  <w14:prstDash w14:val="solid"/>
                  <w14:miter w14:val="0"/>
                </w14:textOutline>
              </w:rPr>
              <w:t>学年</w:t>
            </w:r>
          </w:p>
        </w:tc>
        <w:tc>
          <w:tcPr>
            <w:tcW w:w="2223" w:type="dxa"/>
            <w:tcBorders>
              <w:left w:val="single" w:color="FFFFFF" w:sz="2" w:space="0"/>
              <w:bottom w:val="single" w:color="FFFFFF" w:sz="2" w:space="0"/>
              <w:right w:val="single" w:color="FFFFFF" w:sz="2" w:space="0"/>
            </w:tcBorders>
            <w:shd w:val="clear" w:color="auto" w:fill="2E74B5"/>
            <w:vAlign w:val="top"/>
          </w:tcPr>
          <w:p>
            <w:pPr>
              <w:spacing w:before="34" w:line="220" w:lineRule="auto"/>
              <w:ind w:left="304"/>
              <w:rPr>
                <w:rFonts w:ascii="宋体" w:hAnsi="宋体" w:eastAsia="宋体" w:cs="宋体"/>
                <w:sz w:val="18"/>
                <w:szCs w:val="18"/>
              </w:rPr>
            </w:pPr>
            <w:r>
              <w:rPr>
                <w:rFonts w:ascii="宋体" w:hAnsi="宋体" w:eastAsia="宋体" w:cs="宋体"/>
                <w:color w:val="FFFFFF"/>
                <w:spacing w:val="-10"/>
                <w:sz w:val="18"/>
                <w:szCs w:val="18"/>
                <w14:textOutline w14:w="3263" w14:cap="flat" w14:cmpd="sng">
                  <w14:solidFill>
                    <w14:srgbClr w14:val="FFFFFF"/>
                  </w14:solidFill>
                  <w14:prstDash w14:val="solid"/>
                  <w14:miter w14:val="0"/>
                </w14:textOutline>
              </w:rPr>
              <w:t>20</w:t>
            </w: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20</w:t>
            </w:r>
            <w:r>
              <w:rPr>
                <w:rFonts w:ascii="宋体" w:hAnsi="宋体" w:eastAsia="宋体" w:cs="宋体"/>
                <w:color w:val="FFFFFF"/>
                <w:spacing w:val="-5"/>
                <w:sz w:val="18"/>
                <w:szCs w:val="18"/>
              </w:rPr>
              <w:t xml:space="preserve"> </w:t>
            </w: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学年-2021</w:t>
            </w:r>
            <w:r>
              <w:rPr>
                <w:rFonts w:ascii="宋体" w:hAnsi="宋体" w:eastAsia="宋体" w:cs="宋体"/>
                <w:color w:val="FFFFFF"/>
                <w:spacing w:val="-5"/>
                <w:sz w:val="18"/>
                <w:szCs w:val="18"/>
              </w:rPr>
              <w:t xml:space="preserve"> </w:t>
            </w: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学年</w:t>
            </w:r>
          </w:p>
        </w:tc>
        <w:tc>
          <w:tcPr>
            <w:tcW w:w="1614" w:type="dxa"/>
            <w:tcBorders>
              <w:left w:val="single" w:color="FFFFFF" w:sz="2" w:space="0"/>
              <w:bottom w:val="single" w:color="FFFFFF" w:sz="2" w:space="0"/>
              <w:right w:val="single" w:color="FFFFFF" w:sz="2" w:space="0"/>
            </w:tcBorders>
            <w:shd w:val="clear" w:color="auto" w:fill="2E74B5"/>
            <w:vAlign w:val="top"/>
          </w:tcPr>
          <w:p>
            <w:pPr>
              <w:spacing w:before="34" w:line="221" w:lineRule="auto"/>
              <w:ind w:left="468"/>
              <w:rPr>
                <w:rFonts w:ascii="宋体" w:hAnsi="宋体" w:eastAsia="宋体" w:cs="宋体"/>
                <w:sz w:val="18"/>
                <w:szCs w:val="18"/>
              </w:rPr>
            </w:pPr>
            <w:r>
              <w:rPr>
                <w:rFonts w:ascii="宋体" w:hAnsi="宋体" w:eastAsia="宋体" w:cs="宋体"/>
                <w:color w:val="FFFFFF"/>
                <w:spacing w:val="-8"/>
                <w:sz w:val="18"/>
                <w:szCs w:val="18"/>
                <w14:textOutline w14:w="3263" w14:cap="flat" w14:cmpd="sng">
                  <w14:solidFill>
                    <w14:srgbClr w14:val="FFFFFF"/>
                  </w14:solidFill>
                  <w14:prstDash w14:val="solid"/>
                  <w14:miter w14:val="0"/>
                </w14:textOutline>
              </w:rPr>
              <w:t>同</w:t>
            </w:r>
            <w:r>
              <w:rPr>
                <w:rFonts w:ascii="宋体" w:hAnsi="宋体" w:eastAsia="宋体" w:cs="宋体"/>
                <w:color w:val="FFFFFF"/>
                <w:spacing w:val="-5"/>
                <w:sz w:val="18"/>
                <w:szCs w:val="18"/>
                <w14:textOutline w14:w="3263" w14:cap="flat" w14:cmpd="sng">
                  <w14:solidFill>
                    <w14:srgbClr w14:val="FFFFFF"/>
                  </w14:solidFill>
                  <w14:prstDash w14:val="solid"/>
                  <w14:miter w14:val="0"/>
                </w14:textOutline>
              </w:rPr>
              <w:t>比增加</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90" w:hRule="atLeast"/>
        </w:trPr>
        <w:tc>
          <w:tcPr>
            <w:tcW w:w="1813" w:type="dxa"/>
            <w:tcBorders>
              <w:top w:val="single" w:color="FFFFFF" w:sz="2" w:space="0"/>
              <w:left w:val="single" w:color="FFFFFF" w:sz="2" w:space="0"/>
            </w:tcBorders>
            <w:shd w:val="clear" w:color="auto" w:fill="BDD6EE"/>
            <w:vAlign w:val="top"/>
          </w:tcPr>
          <w:p>
            <w:pPr>
              <w:spacing w:before="26" w:line="220" w:lineRule="auto"/>
              <w:ind w:left="370"/>
              <w:rPr>
                <w:rFonts w:ascii="宋体" w:hAnsi="宋体" w:eastAsia="宋体" w:cs="宋体"/>
                <w:sz w:val="18"/>
                <w:szCs w:val="18"/>
              </w:rPr>
            </w:pPr>
            <w:r>
              <w:rPr>
                <w:rFonts w:ascii="宋体" w:hAnsi="宋体" w:eastAsia="宋体" w:cs="宋体"/>
                <w:spacing w:val="-1"/>
                <w:sz w:val="18"/>
                <w:szCs w:val="18"/>
              </w:rPr>
              <w:t>超星</w:t>
            </w:r>
            <w:r>
              <w:rPr>
                <w:rFonts w:hint="eastAsia" w:ascii="宋体" w:hAnsi="宋体" w:eastAsia="宋体" w:cs="宋体"/>
                <w:spacing w:val="-1"/>
                <w:sz w:val="18"/>
                <w:szCs w:val="18"/>
                <w:lang w:val="en-US" w:eastAsia="zh-CN"/>
              </w:rPr>
              <w:t>学习</w:t>
            </w:r>
            <w:r>
              <w:rPr>
                <w:rFonts w:ascii="宋体" w:hAnsi="宋体" w:eastAsia="宋体" w:cs="宋体"/>
                <w:spacing w:val="-1"/>
                <w:sz w:val="18"/>
                <w:szCs w:val="18"/>
              </w:rPr>
              <w:t>平台</w:t>
            </w:r>
          </w:p>
        </w:tc>
        <w:tc>
          <w:tcPr>
            <w:tcW w:w="2876" w:type="dxa"/>
            <w:vAlign w:val="top"/>
          </w:tcPr>
          <w:p>
            <w:pPr>
              <w:spacing w:before="26" w:line="223" w:lineRule="auto"/>
              <w:ind w:left="1195"/>
              <w:rPr>
                <w:rFonts w:ascii="宋体" w:hAnsi="宋体" w:eastAsia="宋体" w:cs="宋体"/>
                <w:sz w:val="18"/>
                <w:szCs w:val="18"/>
              </w:rPr>
            </w:pPr>
            <w:r>
              <w:rPr>
                <w:rFonts w:hint="eastAsia" w:ascii="宋体" w:hAnsi="宋体" w:eastAsia="宋体" w:cs="宋体"/>
                <w:spacing w:val="-6"/>
                <w:sz w:val="18"/>
                <w:szCs w:val="18"/>
                <w:lang w:val="en-US" w:eastAsia="zh-CN"/>
              </w:rPr>
              <w:t xml:space="preserve">217 </w:t>
            </w:r>
            <w:r>
              <w:rPr>
                <w:rFonts w:ascii="宋体" w:hAnsi="宋体" w:eastAsia="宋体" w:cs="宋体"/>
                <w:spacing w:val="-5"/>
                <w:sz w:val="18"/>
                <w:szCs w:val="18"/>
              </w:rPr>
              <w:t>门</w:t>
            </w:r>
          </w:p>
        </w:tc>
        <w:tc>
          <w:tcPr>
            <w:tcW w:w="2223" w:type="dxa"/>
            <w:vAlign w:val="top"/>
          </w:tcPr>
          <w:p>
            <w:pPr>
              <w:spacing w:before="26" w:line="223" w:lineRule="auto"/>
              <w:ind w:left="871"/>
              <w:rPr>
                <w:rFonts w:ascii="宋体" w:hAnsi="宋体" w:eastAsia="宋体" w:cs="宋体"/>
                <w:sz w:val="18"/>
                <w:szCs w:val="18"/>
              </w:rPr>
            </w:pPr>
            <w:r>
              <w:rPr>
                <w:rFonts w:hint="eastAsia" w:ascii="宋体" w:hAnsi="宋体" w:eastAsia="宋体" w:cs="宋体"/>
                <w:spacing w:val="-6"/>
                <w:sz w:val="18"/>
                <w:szCs w:val="18"/>
                <w:lang w:val="en-US" w:eastAsia="zh-CN"/>
              </w:rPr>
              <w:t>275</w:t>
            </w:r>
            <w:r>
              <w:rPr>
                <w:rFonts w:ascii="宋体" w:hAnsi="宋体" w:eastAsia="宋体" w:cs="宋体"/>
                <w:spacing w:val="-5"/>
                <w:sz w:val="18"/>
                <w:szCs w:val="18"/>
              </w:rPr>
              <w:t xml:space="preserve"> 门</w:t>
            </w:r>
          </w:p>
        </w:tc>
        <w:tc>
          <w:tcPr>
            <w:tcW w:w="1614" w:type="dxa"/>
            <w:tcBorders>
              <w:top w:val="single" w:color="FFFFFF" w:sz="2" w:space="0"/>
              <w:right w:val="single" w:color="FFFFFF" w:sz="2" w:space="0"/>
            </w:tcBorders>
            <w:vAlign w:val="top"/>
          </w:tcPr>
          <w:p>
            <w:pPr>
              <w:spacing w:before="26" w:line="223" w:lineRule="auto"/>
              <w:ind w:left="659"/>
              <w:rPr>
                <w:rFonts w:ascii="宋体" w:hAnsi="宋体" w:eastAsia="宋体" w:cs="宋体"/>
                <w:sz w:val="18"/>
                <w:szCs w:val="18"/>
              </w:rPr>
            </w:pPr>
            <w:r>
              <w:rPr>
                <w:rFonts w:hint="eastAsia" w:ascii="宋体" w:hAnsi="宋体" w:eastAsia="宋体" w:cs="宋体"/>
                <w:spacing w:val="-10"/>
                <w:sz w:val="18"/>
                <w:szCs w:val="18"/>
                <w:lang w:val="en-US" w:eastAsia="zh-CN"/>
              </w:rPr>
              <w:t xml:space="preserve">58 </w:t>
            </w:r>
            <w:r>
              <w:rPr>
                <w:rFonts w:ascii="宋体" w:hAnsi="宋体" w:eastAsia="宋体" w:cs="宋体"/>
                <w:spacing w:val="-9"/>
                <w:sz w:val="18"/>
                <w:szCs w:val="18"/>
              </w:rPr>
              <w:t xml:space="preserve"> 门</w:t>
            </w:r>
          </w:p>
        </w:tc>
      </w:tr>
    </w:tbl>
    <w:p>
      <w:pPr>
        <w:rPr>
          <w:rFonts w:hint="eastAsia"/>
          <w:lang w:val="en-US" w:eastAsia="zh-CN"/>
        </w:rPr>
      </w:pP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52" w:name="_Toc833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3.6师资队伍建设</w:t>
      </w:r>
      <w:bookmarkEnd w:id="52"/>
    </w:p>
    <w:p>
      <w:pPr>
        <w:pStyle w:val="5"/>
        <w:bidi w:val="0"/>
        <w:rPr>
          <w:rFonts w:hint="eastAsia"/>
          <w:lang w:val="en-US" w:eastAsia="zh-CN"/>
        </w:rPr>
      </w:pPr>
      <w:bookmarkStart w:id="53" w:name="_Toc16691"/>
      <w:r>
        <w:rPr>
          <w:rFonts w:hint="eastAsia" w:ascii="仿宋_GB2312" w:hAnsi="仿宋_GB2312" w:eastAsia="仿宋_GB2312" w:cs="仿宋_GB2312"/>
          <w:b/>
          <w:bCs/>
          <w:color w:val="0C0C0C"/>
          <w:kern w:val="0"/>
          <w:sz w:val="32"/>
          <w:szCs w:val="32"/>
          <w:lang w:val="en-US" w:eastAsia="zh-CN" w:bidi="ar-SA"/>
        </w:rPr>
        <w:t>3.6.1教师队伍现状</w:t>
      </w:r>
      <w:bookmarkEnd w:id="53"/>
      <w:r>
        <w:rPr>
          <w:rFonts w:hint="eastAsia" w:ascii="仿宋_GB2312" w:hAnsi="仿宋_GB2312" w:eastAsia="仿宋_GB2312" w:cs="仿宋_GB2312"/>
          <w:b/>
          <w:bCs/>
          <w:color w:val="0C0C0C"/>
          <w:kern w:val="0"/>
          <w:sz w:val="32"/>
          <w:szCs w:val="32"/>
          <w:lang w:val="en-US" w:eastAsia="zh-CN" w:bidi="ar-SA"/>
        </w:rPr>
        <w:t xml:space="preserve"> </w:t>
      </w:r>
    </w:p>
    <w:p>
      <w:pPr>
        <w:ind w:firstLine="640" w:firstLineChars="200"/>
      </w:pPr>
      <w:r>
        <w:rPr>
          <w:rFonts w:hint="eastAsia" w:ascii="仿宋_GB2312" w:hAnsi="宋体" w:eastAsia="仿宋_GB2312" w:cs="宋体"/>
          <w:color w:val="000000"/>
          <w:kern w:val="0"/>
          <w:sz w:val="32"/>
          <w:szCs w:val="32"/>
          <w:lang w:val="en-US" w:eastAsia="zh-CN" w:bidi="ar-SA"/>
        </w:rPr>
        <w:t>学校以江西省高水平学校建设为引领，始终把师资队伍</w:t>
      </w:r>
      <w:r>
        <w:rPr>
          <w:rFonts w:hint="eastAsia" w:ascii="仿宋_GB2312" w:hAnsi="宋体" w:eastAsia="仿宋_GB2312" w:cs="宋体"/>
          <w:color w:val="auto"/>
          <w:kern w:val="0"/>
          <w:sz w:val="32"/>
          <w:szCs w:val="32"/>
          <w:lang w:val="en-US" w:eastAsia="zh-CN" w:bidi="ar-SA"/>
        </w:rPr>
        <w:t>建设置于学校优先发展地位，通过顶层设计，整体推进，全面贯彻和落实人才素质提升工作。</w:t>
      </w:r>
      <w:r>
        <w:rPr>
          <w:rFonts w:hint="eastAsia" w:ascii="仿宋_GB2312" w:eastAsia="仿宋_GB2312"/>
          <w:color w:val="auto"/>
          <w:sz w:val="32"/>
          <w:szCs w:val="32"/>
        </w:rPr>
        <w:t> </w:t>
      </w:r>
      <w:r>
        <w:rPr>
          <w:rFonts w:hint="eastAsia" w:ascii="仿宋_GB2312" w:hAnsi="宋体" w:eastAsia="仿宋_GB2312" w:cs="宋体"/>
          <w:color w:val="auto"/>
          <w:kern w:val="0"/>
          <w:sz w:val="32"/>
          <w:szCs w:val="32"/>
        </w:rPr>
        <w:t>学校教职工</w:t>
      </w:r>
      <w:r>
        <w:rPr>
          <w:rFonts w:hint="eastAsia" w:ascii="仿宋_GB2312" w:hAnsi="宋体" w:eastAsia="仿宋_GB2312" w:cs="宋体"/>
          <w:color w:val="auto"/>
          <w:kern w:val="0"/>
          <w:sz w:val="32"/>
          <w:szCs w:val="32"/>
          <w:lang w:val="en-US" w:eastAsia="zh-CN"/>
        </w:rPr>
        <w:t>246</w:t>
      </w:r>
      <w:r>
        <w:rPr>
          <w:rFonts w:hint="eastAsia" w:ascii="仿宋_GB2312" w:hAnsi="宋体" w:eastAsia="仿宋_GB2312" w:cs="宋体"/>
          <w:color w:val="auto"/>
          <w:kern w:val="0"/>
          <w:sz w:val="32"/>
          <w:szCs w:val="32"/>
        </w:rPr>
        <w:t>人，其中专任教师</w:t>
      </w:r>
      <w:r>
        <w:rPr>
          <w:rFonts w:hint="eastAsia" w:ascii="仿宋_GB2312" w:hAnsi="宋体" w:eastAsia="仿宋_GB2312" w:cs="宋体"/>
          <w:color w:val="auto"/>
          <w:kern w:val="0"/>
          <w:sz w:val="32"/>
          <w:szCs w:val="32"/>
          <w:lang w:val="en-US" w:eastAsia="zh-CN"/>
        </w:rPr>
        <w:t>216</w:t>
      </w:r>
      <w:r>
        <w:rPr>
          <w:rFonts w:hint="eastAsia" w:ascii="仿宋_GB2312" w:hAnsi="宋体" w:eastAsia="仿宋_GB2312" w:cs="宋体"/>
          <w:color w:val="auto"/>
          <w:kern w:val="0"/>
          <w:sz w:val="32"/>
          <w:szCs w:val="32"/>
        </w:rPr>
        <w:t>名，在校生</w:t>
      </w:r>
      <w:r>
        <w:rPr>
          <w:rFonts w:hint="eastAsia" w:ascii="仿宋_GB2312" w:hAnsi="宋体" w:eastAsia="仿宋_GB2312" w:cs="宋体"/>
          <w:color w:val="auto"/>
          <w:kern w:val="0"/>
          <w:sz w:val="32"/>
          <w:szCs w:val="32"/>
          <w:lang w:val="en-US" w:eastAsia="zh-CN"/>
        </w:rPr>
        <w:t>4214</w:t>
      </w:r>
      <w:r>
        <w:rPr>
          <w:rFonts w:hint="eastAsia" w:ascii="仿宋_GB2312" w:hAnsi="宋体" w:eastAsia="仿宋_GB2312" w:cs="宋体"/>
          <w:color w:val="auto"/>
          <w:kern w:val="0"/>
          <w:sz w:val="32"/>
          <w:szCs w:val="32"/>
        </w:rPr>
        <w:t>人，生师比为</w:t>
      </w:r>
      <w:r>
        <w:rPr>
          <w:rFonts w:hint="eastAsia" w:ascii="仿宋_GB2312" w:hAnsi="宋体" w:eastAsia="仿宋_GB2312" w:cs="宋体"/>
          <w:color w:val="auto"/>
          <w:kern w:val="0"/>
          <w:sz w:val="32"/>
          <w:szCs w:val="32"/>
          <w:lang w:val="en-US" w:eastAsia="zh-CN"/>
        </w:rPr>
        <w:t>19.51</w:t>
      </w:r>
      <w:r>
        <w:rPr>
          <w:rFonts w:hint="eastAsia" w:ascii="仿宋_GB2312" w:hAnsi="宋体" w:eastAsia="仿宋_GB2312" w:cs="宋体"/>
          <w:color w:val="auto"/>
          <w:kern w:val="0"/>
          <w:sz w:val="32"/>
          <w:szCs w:val="32"/>
        </w:rPr>
        <w:t>:1；专业课教师</w:t>
      </w:r>
      <w:r>
        <w:rPr>
          <w:rFonts w:hint="eastAsia" w:ascii="仿宋_GB2312" w:hAnsi="宋体" w:eastAsia="仿宋_GB2312" w:cs="宋体"/>
          <w:color w:val="auto"/>
          <w:kern w:val="0"/>
          <w:sz w:val="32"/>
          <w:szCs w:val="32"/>
          <w:lang w:val="en-US" w:eastAsia="zh-CN"/>
        </w:rPr>
        <w:t>138</w:t>
      </w:r>
      <w:r>
        <w:rPr>
          <w:rFonts w:hint="eastAsia" w:ascii="仿宋_GB2312" w:hAnsi="宋体" w:eastAsia="仿宋_GB2312" w:cs="宋体"/>
          <w:color w:val="auto"/>
          <w:kern w:val="0"/>
          <w:sz w:val="32"/>
          <w:szCs w:val="32"/>
        </w:rPr>
        <w:t>人。专任教师本科及以上学历</w:t>
      </w:r>
      <w:r>
        <w:rPr>
          <w:rFonts w:hint="eastAsia" w:ascii="仿宋_GB2312" w:hAnsi="宋体" w:eastAsia="仿宋_GB2312" w:cs="宋体"/>
          <w:color w:val="auto"/>
          <w:kern w:val="0"/>
          <w:sz w:val="32"/>
          <w:szCs w:val="32"/>
          <w:lang w:val="en-US" w:eastAsia="zh-CN"/>
        </w:rPr>
        <w:t>206</w:t>
      </w:r>
      <w:r>
        <w:rPr>
          <w:rFonts w:hint="eastAsia" w:ascii="仿宋_GB2312" w:hAnsi="宋体" w:eastAsia="仿宋_GB2312" w:cs="宋体"/>
          <w:color w:val="auto"/>
          <w:kern w:val="0"/>
          <w:sz w:val="32"/>
          <w:szCs w:val="32"/>
        </w:rPr>
        <w:t>人，占专任教师的9</w:t>
      </w:r>
      <w:r>
        <w:rPr>
          <w:rFonts w:hint="eastAsia" w:ascii="仿宋_GB2312" w:hAnsi="宋体" w:eastAsia="仿宋_GB2312" w:cs="宋体"/>
          <w:color w:val="auto"/>
          <w:kern w:val="0"/>
          <w:sz w:val="32"/>
          <w:szCs w:val="32"/>
          <w:lang w:val="en-US" w:eastAsia="zh-CN"/>
        </w:rPr>
        <w:t>5</w:t>
      </w:r>
      <w:r>
        <w:rPr>
          <w:rFonts w:hint="eastAsia" w:ascii="仿宋_GB2312" w:hAnsi="宋体" w:eastAsia="仿宋_GB2312" w:cs="宋体"/>
          <w:color w:val="auto"/>
          <w:kern w:val="0"/>
          <w:sz w:val="32"/>
          <w:szCs w:val="32"/>
        </w:rPr>
        <w:t>.</w:t>
      </w:r>
      <w:r>
        <w:rPr>
          <w:rFonts w:hint="eastAsia" w:ascii="仿宋_GB2312" w:hAnsi="宋体" w:eastAsia="仿宋_GB2312" w:cs="宋体"/>
          <w:color w:val="auto"/>
          <w:kern w:val="0"/>
          <w:sz w:val="32"/>
          <w:szCs w:val="32"/>
          <w:lang w:val="en-US" w:eastAsia="zh-CN"/>
        </w:rPr>
        <w:t>3</w:t>
      </w:r>
      <w:r>
        <w:rPr>
          <w:rFonts w:hint="eastAsia" w:ascii="仿宋_GB2312" w:hAnsi="宋体" w:eastAsia="仿宋_GB2312" w:cs="宋体"/>
          <w:color w:val="auto"/>
          <w:kern w:val="0"/>
          <w:sz w:val="32"/>
          <w:szCs w:val="32"/>
        </w:rPr>
        <w:t>%，其中硕士以上学历</w:t>
      </w:r>
      <w:r>
        <w:rPr>
          <w:rFonts w:ascii="仿宋_GB2312" w:hAnsi="宋体" w:eastAsia="仿宋_GB2312" w:cs="宋体"/>
          <w:color w:val="auto"/>
          <w:kern w:val="0"/>
          <w:sz w:val="32"/>
          <w:szCs w:val="32"/>
        </w:rPr>
        <w:t>23</w:t>
      </w:r>
      <w:r>
        <w:rPr>
          <w:rFonts w:hint="eastAsia" w:ascii="仿宋_GB2312" w:hAnsi="宋体" w:eastAsia="仿宋_GB2312" w:cs="宋体"/>
          <w:color w:val="auto"/>
          <w:kern w:val="0"/>
          <w:sz w:val="32"/>
          <w:szCs w:val="32"/>
        </w:rPr>
        <w:t>人；专任教师高级职称</w:t>
      </w:r>
      <w:r>
        <w:rPr>
          <w:rFonts w:hint="eastAsia" w:ascii="仿宋_GB2312" w:hAnsi="宋体" w:eastAsia="仿宋_GB2312" w:cs="宋体"/>
          <w:color w:val="auto"/>
          <w:kern w:val="0"/>
          <w:sz w:val="32"/>
          <w:szCs w:val="32"/>
          <w:lang w:val="en-US" w:eastAsia="zh-CN"/>
        </w:rPr>
        <w:t>10</w:t>
      </w:r>
      <w:r>
        <w:rPr>
          <w:rFonts w:hint="eastAsia" w:ascii="仿宋_GB2312" w:hAnsi="宋体" w:eastAsia="仿宋_GB2312" w:cs="宋体"/>
          <w:color w:val="auto"/>
          <w:kern w:val="0"/>
          <w:sz w:val="32"/>
          <w:szCs w:val="32"/>
        </w:rPr>
        <w:t>人（其中正高级1人）。“双师型”教师</w:t>
      </w:r>
      <w:r>
        <w:rPr>
          <w:rFonts w:hint="eastAsia" w:ascii="仿宋_GB2312" w:hAnsi="宋体" w:eastAsia="仿宋_GB2312" w:cs="宋体"/>
          <w:color w:val="auto"/>
          <w:kern w:val="0"/>
          <w:sz w:val="32"/>
          <w:szCs w:val="32"/>
          <w:lang w:val="en-US" w:eastAsia="zh-CN"/>
        </w:rPr>
        <w:t>54</w:t>
      </w:r>
      <w:r>
        <w:rPr>
          <w:rFonts w:hint="eastAsia" w:ascii="仿宋_GB2312" w:hAnsi="宋体" w:eastAsia="仿宋_GB2312" w:cs="宋体"/>
          <w:color w:val="auto"/>
          <w:kern w:val="0"/>
          <w:sz w:val="32"/>
          <w:szCs w:val="32"/>
        </w:rPr>
        <w:t>人，占专业专任教师比为</w:t>
      </w:r>
      <w:r>
        <w:rPr>
          <w:rFonts w:hint="eastAsia" w:ascii="仿宋_GB2312" w:hAnsi="宋体" w:eastAsia="仿宋_GB2312" w:cs="宋体"/>
          <w:color w:val="auto"/>
          <w:kern w:val="0"/>
          <w:sz w:val="32"/>
          <w:szCs w:val="32"/>
          <w:lang w:val="en-US" w:eastAsia="zh-CN"/>
        </w:rPr>
        <w:t>39.13</w:t>
      </w:r>
      <w:r>
        <w:rPr>
          <w:rFonts w:hint="eastAsia" w:ascii="仿宋_GB2312" w:hAnsi="宋体" w:eastAsia="仿宋_GB2312" w:cs="宋体"/>
          <w:color w:val="auto"/>
          <w:kern w:val="0"/>
          <w:sz w:val="32"/>
          <w:szCs w:val="32"/>
        </w:rPr>
        <w:t>%。专业带头人16人。</w:t>
      </w:r>
    </w:p>
    <w:p>
      <w:pPr>
        <w:spacing w:line="220" w:lineRule="auto"/>
        <w:ind w:left="888"/>
        <w:rPr>
          <w:rFonts w:ascii="宋体" w:hAnsi="宋体" w:eastAsia="宋体" w:cs="宋体"/>
          <w:sz w:val="21"/>
          <w:szCs w:val="21"/>
        </w:rPr>
      </w:pP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6</w:t>
      </w:r>
      <w:r>
        <w:rPr>
          <w:rFonts w:hint="eastAsia" w:ascii="宋体" w:hAnsi="宋体" w:eastAsia="宋体" w:cs="宋体"/>
          <w:color w:val="1F4E79"/>
          <w:spacing w:val="-5"/>
          <w:sz w:val="21"/>
          <w:szCs w:val="21"/>
          <w:lang w:val="en-US" w:eastAsia="zh-CN"/>
        </w:rPr>
        <w:t xml:space="preserve"> </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20</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学年、</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学年我校教师组成及生师比情况表</w:t>
      </w:r>
    </w:p>
    <w:p>
      <w:pPr>
        <w:spacing w:line="127" w:lineRule="exact"/>
      </w:pPr>
    </w:p>
    <w:tbl>
      <w:tblPr>
        <w:tblStyle w:val="30"/>
        <w:tblW w:w="8037" w:type="dxa"/>
        <w:tblInd w:w="0"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1918"/>
        <w:gridCol w:w="1117"/>
        <w:gridCol w:w="1246"/>
        <w:gridCol w:w="1419"/>
        <w:gridCol w:w="1262"/>
        <w:gridCol w:w="1075"/>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1006" w:hRule="atLeast"/>
        </w:trPr>
        <w:tc>
          <w:tcPr>
            <w:tcW w:w="1918" w:type="dxa"/>
            <w:tcBorders>
              <w:top w:val="nil"/>
              <w:left w:val="nil"/>
              <w:bottom w:val="single" w:color="5B9BD5" w:themeColor="accent1" w:sz="4" w:space="0"/>
              <w:right w:val="single" w:color="FFFFFF" w:sz="2" w:space="0"/>
            </w:tcBorders>
            <w:shd w:val="clear" w:color="auto" w:fill="2E74B5"/>
            <w:vAlign w:val="top"/>
          </w:tcPr>
          <w:p>
            <w:pPr>
              <w:spacing w:before="302" w:line="221" w:lineRule="auto"/>
              <w:ind w:left="611"/>
              <w:rPr>
                <w:rFonts w:ascii="宋体" w:hAnsi="宋体" w:eastAsia="宋体" w:cs="宋体"/>
                <w:sz w:val="21"/>
                <w:szCs w:val="21"/>
              </w:rPr>
            </w:pPr>
            <w:r>
              <w:rPr>
                <w:rFonts w:ascii="宋体" w:hAnsi="宋体" w:eastAsia="宋体" w:cs="宋体"/>
                <w:color w:val="FFFFFF"/>
                <w:sz w:val="21"/>
                <w:szCs w:val="21"/>
                <w14:textOutline w14:w="3835" w14:cap="flat" w14:cmpd="sng">
                  <w14:solidFill>
                    <w14:srgbClr w14:val="FFFFFF"/>
                  </w14:solidFill>
                  <w14:prstDash w14:val="solid"/>
                  <w14:miter w14:val="0"/>
                </w14:textOutline>
              </w:rPr>
              <w:t>年</w:t>
            </w:r>
            <w:r>
              <w:rPr>
                <w:rFonts w:ascii="宋体" w:hAnsi="宋体" w:eastAsia="宋体" w:cs="宋体"/>
                <w:color w:val="FFFFFF"/>
                <w:sz w:val="21"/>
                <w:szCs w:val="21"/>
              </w:rPr>
              <w:t xml:space="preserve"> </w:t>
            </w:r>
            <w:r>
              <w:rPr>
                <w:rFonts w:ascii="宋体" w:hAnsi="宋体" w:eastAsia="宋体" w:cs="宋体"/>
                <w:color w:val="FFFFFF"/>
                <w:sz w:val="21"/>
                <w:szCs w:val="21"/>
                <w14:textOutline w14:w="3835" w14:cap="flat" w14:cmpd="sng">
                  <w14:solidFill>
                    <w14:srgbClr w14:val="FFFFFF"/>
                  </w14:solidFill>
                  <w14:prstDash w14:val="solid"/>
                  <w14:miter w14:val="0"/>
                </w14:textOutline>
              </w:rPr>
              <w:t>份</w:t>
            </w:r>
          </w:p>
        </w:tc>
        <w:tc>
          <w:tcPr>
            <w:tcW w:w="1117" w:type="dxa"/>
            <w:tcBorders>
              <w:top w:val="nil"/>
              <w:left w:val="single" w:color="FFFFFF" w:sz="2" w:space="0"/>
              <w:bottom w:val="single" w:color="5B9BD5" w:themeColor="accent1" w:sz="4" w:space="0"/>
              <w:right w:val="single" w:color="FFFFFF" w:sz="2" w:space="0"/>
            </w:tcBorders>
            <w:shd w:val="clear" w:color="auto" w:fill="2E74B5"/>
            <w:vAlign w:val="top"/>
          </w:tcPr>
          <w:p>
            <w:pPr>
              <w:spacing w:before="29" w:line="221" w:lineRule="auto"/>
              <w:ind w:left="243"/>
              <w:rPr>
                <w:rFonts w:ascii="宋体" w:hAnsi="宋体" w:eastAsia="宋体" w:cs="宋体"/>
                <w:sz w:val="21"/>
                <w:szCs w:val="21"/>
              </w:rPr>
            </w:pP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教</w:t>
            </w:r>
            <w:r>
              <w:rPr>
                <w:rFonts w:ascii="宋体" w:hAnsi="宋体" w:eastAsia="宋体" w:cs="宋体"/>
                <w:color w:val="FFFFFF"/>
                <w:spacing w:val="1"/>
                <w:sz w:val="21"/>
                <w:szCs w:val="21"/>
              </w:rPr>
              <w:t xml:space="preserve"> </w:t>
            </w:r>
            <w:r>
              <w:rPr>
                <w:rFonts w:ascii="宋体" w:hAnsi="宋体" w:eastAsia="宋体" w:cs="宋体"/>
                <w:color w:val="FFFFFF"/>
                <w:sz w:val="21"/>
                <w:szCs w:val="21"/>
                <w14:textOutline w14:w="3835" w14:cap="flat" w14:cmpd="sng">
                  <w14:solidFill>
                    <w14:srgbClr w14:val="FFFFFF"/>
                  </w14:solidFill>
                  <w14:prstDash w14:val="solid"/>
                  <w14:miter w14:val="0"/>
                </w14:textOutline>
              </w:rPr>
              <w:t>师</w:t>
            </w:r>
          </w:p>
          <w:p>
            <w:pPr>
              <w:spacing w:before="23" w:line="238" w:lineRule="auto"/>
              <w:ind w:left="299"/>
              <w:rPr>
                <w:rFonts w:ascii="宋体" w:hAnsi="宋体" w:eastAsia="宋体" w:cs="宋体"/>
                <w:sz w:val="21"/>
                <w:szCs w:val="21"/>
              </w:rPr>
            </w:pPr>
            <w:r>
              <w:rPr>
                <w:rFonts w:ascii="宋体" w:hAnsi="宋体" w:eastAsia="宋体" w:cs="宋体"/>
                <w:color w:val="FFFFFF"/>
                <w:spacing w:val="42"/>
                <w:sz w:val="21"/>
                <w:szCs w:val="21"/>
                <w14:textOutline w14:w="3835" w14:cap="flat" w14:cmpd="sng">
                  <w14:solidFill>
                    <w14:srgbClr w14:val="FFFFFF"/>
                  </w14:solidFill>
                  <w14:prstDash w14:val="solid"/>
                  <w14:miter w14:val="0"/>
                </w14:textOutline>
              </w:rPr>
              <w:t>(</w:t>
            </w:r>
            <w:r>
              <w:rPr>
                <w:rFonts w:ascii="宋体" w:hAnsi="宋体" w:eastAsia="宋体" w:cs="宋体"/>
                <w:color w:val="FFFFFF"/>
                <w:spacing w:val="41"/>
                <w:sz w:val="21"/>
                <w:szCs w:val="21"/>
                <w14:textOutline w14:w="3835" w14:cap="flat" w14:cmpd="sng">
                  <w14:solidFill>
                    <w14:srgbClr w14:val="FFFFFF"/>
                  </w14:solidFill>
                  <w14:prstDash w14:val="solid"/>
                  <w14:miter w14:val="0"/>
                </w14:textOutline>
              </w:rPr>
              <w:t>人</w:t>
            </w:r>
          </w:p>
          <w:p>
            <w:pPr>
              <w:spacing w:line="216" w:lineRule="auto"/>
              <w:ind w:left="295"/>
              <w:rPr>
                <w:rFonts w:ascii="宋体" w:hAnsi="宋体" w:eastAsia="宋体" w:cs="宋体"/>
                <w:sz w:val="21"/>
                <w:szCs w:val="21"/>
              </w:rPr>
            </w:pPr>
            <w:r>
              <w:rPr>
                <w:rFonts w:ascii="宋体" w:hAnsi="宋体" w:eastAsia="宋体" w:cs="宋体"/>
                <w:color w:val="FFFFFF"/>
                <w:spacing w:val="-8"/>
                <w:sz w:val="21"/>
                <w:szCs w:val="21"/>
                <w14:textOutline w14:w="3835" w14:cap="flat" w14:cmpd="sng">
                  <w14:solidFill>
                    <w14:srgbClr w14:val="FFFFFF"/>
                  </w14:solidFill>
                  <w14:prstDash w14:val="solid"/>
                  <w14:miter w14:val="0"/>
                </w14:textOutline>
              </w:rPr>
              <w:t>数</w:t>
            </w:r>
            <w:r>
              <w:rPr>
                <w:rFonts w:ascii="宋体" w:hAnsi="宋体" w:eastAsia="宋体" w:cs="宋体"/>
                <w:color w:val="FFFFFF"/>
                <w:spacing w:val="-7"/>
                <w:sz w:val="21"/>
                <w:szCs w:val="21"/>
                <w14:textOutline w14:w="3835" w14:cap="flat" w14:cmpd="sng">
                  <w14:solidFill>
                    <w14:srgbClr w14:val="FFFFFF"/>
                  </w14:solidFill>
                  <w14:prstDash w14:val="solid"/>
                  <w14:miter w14:val="0"/>
                </w14:textOutline>
              </w:rPr>
              <w:t>)</w:t>
            </w:r>
          </w:p>
        </w:tc>
        <w:tc>
          <w:tcPr>
            <w:tcW w:w="1246" w:type="dxa"/>
            <w:tcBorders>
              <w:top w:val="nil"/>
              <w:left w:val="single" w:color="FFFFFF" w:sz="2" w:space="0"/>
              <w:bottom w:val="single" w:color="5B9BD5" w:themeColor="accent1" w:sz="4" w:space="0"/>
              <w:right w:val="single" w:color="FFFFFF" w:sz="2" w:space="0"/>
            </w:tcBorders>
            <w:shd w:val="clear" w:color="auto" w:fill="2E74B5"/>
            <w:vAlign w:val="top"/>
          </w:tcPr>
          <w:p>
            <w:pPr>
              <w:spacing w:before="167" w:line="253" w:lineRule="auto"/>
              <w:ind w:left="148" w:right="133" w:hanging="5"/>
              <w:rPr>
                <w:rFonts w:ascii="宋体" w:hAnsi="宋体" w:eastAsia="宋体" w:cs="宋体"/>
                <w:sz w:val="21"/>
                <w:szCs w:val="21"/>
              </w:rPr>
            </w:pPr>
            <w:r>
              <w:rPr>
                <w:rFonts w:ascii="宋体" w:hAnsi="宋体" w:eastAsia="宋体" w:cs="宋体"/>
                <w:color w:val="FFFFFF"/>
                <w:spacing w:val="-2"/>
                <w:sz w:val="21"/>
                <w:szCs w:val="21"/>
                <w14:textOutline w14:w="3835" w14:cap="flat" w14:cmpd="sng">
                  <w14:solidFill>
                    <w14:srgbClr w14:val="FFFFFF"/>
                  </w14:solidFill>
                  <w14:prstDash w14:val="solid"/>
                  <w14:miter w14:val="0"/>
                </w14:textOutline>
              </w:rPr>
              <w:t>专</w:t>
            </w: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任教师</w:t>
            </w:r>
            <w:r>
              <w:rPr>
                <w:rFonts w:ascii="宋体" w:hAnsi="宋体" w:eastAsia="宋体" w:cs="宋体"/>
                <w:color w:val="FFFFFF"/>
                <w:sz w:val="21"/>
                <w:szCs w:val="21"/>
              </w:rPr>
              <w:t xml:space="preserve"> </w:t>
            </w: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419" w:type="dxa"/>
            <w:tcBorders>
              <w:top w:val="nil"/>
              <w:left w:val="single" w:color="FFFFFF" w:sz="2" w:space="0"/>
              <w:bottom w:val="single" w:color="5B9BD5" w:themeColor="accent1" w:sz="4" w:space="0"/>
              <w:right w:val="single" w:color="FFFFFF" w:sz="2" w:space="0"/>
            </w:tcBorders>
            <w:shd w:val="clear" w:color="auto" w:fill="2E74B5"/>
            <w:vAlign w:val="top"/>
          </w:tcPr>
          <w:p>
            <w:pPr>
              <w:spacing w:before="166" w:line="221" w:lineRule="auto"/>
              <w:ind w:left="116"/>
              <w:rPr>
                <w:rFonts w:ascii="宋体" w:hAnsi="宋体" w:eastAsia="宋体" w:cs="宋体"/>
                <w:sz w:val="21"/>
                <w:szCs w:val="21"/>
              </w:rPr>
            </w:pP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双师</w:t>
            </w:r>
            <w:r>
              <w:rPr>
                <w:rFonts w:ascii="宋体" w:hAnsi="宋体" w:eastAsia="宋体" w:cs="宋体"/>
                <w:color w:val="FFFFFF"/>
                <w:sz w:val="21"/>
                <w:szCs w:val="21"/>
                <w14:textOutline w14:w="3835" w14:cap="flat" w14:cmpd="sng">
                  <w14:solidFill>
                    <w14:srgbClr w14:val="FFFFFF"/>
                  </w14:solidFill>
                  <w14:prstDash w14:val="solid"/>
                  <w14:miter w14:val="0"/>
                </w14:textOutline>
              </w:rPr>
              <w:t>型教师</w:t>
            </w:r>
          </w:p>
          <w:p>
            <w:pPr>
              <w:spacing w:before="19" w:line="221" w:lineRule="auto"/>
              <w:ind w:left="228"/>
              <w:rPr>
                <w:rFonts w:ascii="宋体" w:hAnsi="宋体" w:eastAsia="宋体" w:cs="宋体"/>
                <w:sz w:val="21"/>
                <w:szCs w:val="21"/>
              </w:rPr>
            </w:pP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262" w:type="dxa"/>
            <w:tcBorders>
              <w:top w:val="nil"/>
              <w:left w:val="single" w:color="FFFFFF" w:sz="2" w:space="0"/>
              <w:bottom w:val="single" w:color="5B9BD5" w:themeColor="accent1" w:sz="4" w:space="0"/>
              <w:right w:val="single" w:color="FFFFFF" w:sz="2" w:space="0"/>
            </w:tcBorders>
            <w:shd w:val="clear" w:color="auto" w:fill="2E74B5"/>
            <w:vAlign w:val="top"/>
          </w:tcPr>
          <w:p>
            <w:pPr>
              <w:spacing w:before="167" w:line="253" w:lineRule="auto"/>
              <w:ind w:left="157" w:right="155" w:firstLine="156"/>
              <w:rPr>
                <w:rFonts w:ascii="宋体" w:hAnsi="宋体" w:eastAsia="宋体" w:cs="宋体"/>
                <w:sz w:val="21"/>
                <w:szCs w:val="21"/>
              </w:rPr>
            </w:pPr>
            <w:r>
              <w:rPr>
                <w:rFonts w:ascii="宋体" w:hAnsi="宋体" w:eastAsia="宋体" w:cs="宋体"/>
                <w:color w:val="FFFFFF"/>
                <w:spacing w:val="-4"/>
                <w:sz w:val="21"/>
                <w:szCs w:val="21"/>
                <w14:textOutline w14:w="3835" w14:cap="flat" w14:cmpd="sng">
                  <w14:solidFill>
                    <w14:srgbClr w14:val="FFFFFF"/>
                  </w14:solidFill>
                  <w14:prstDash w14:val="solid"/>
                  <w14:miter w14:val="0"/>
                </w14:textOutline>
              </w:rPr>
              <w:t>学</w:t>
            </w:r>
            <w:r>
              <w:rPr>
                <w:rFonts w:ascii="宋体" w:hAnsi="宋体" w:eastAsia="宋体" w:cs="宋体"/>
                <w:color w:val="FFFFFF"/>
                <w:spacing w:val="-3"/>
                <w:sz w:val="21"/>
                <w:szCs w:val="21"/>
              </w:rPr>
              <w:t xml:space="preserve"> </w:t>
            </w:r>
            <w:r>
              <w:rPr>
                <w:rFonts w:ascii="宋体" w:hAnsi="宋体" w:eastAsia="宋体" w:cs="宋体"/>
                <w:color w:val="FFFFFF"/>
                <w:spacing w:val="-3"/>
                <w:sz w:val="21"/>
                <w:szCs w:val="21"/>
                <w14:textOutline w14:w="3835" w14:cap="flat" w14:cmpd="sng">
                  <w14:solidFill>
                    <w14:srgbClr w14:val="FFFFFF"/>
                  </w14:solidFill>
                  <w14:prstDash w14:val="solid"/>
                  <w14:miter w14:val="0"/>
                </w14:textOutline>
              </w:rPr>
              <w:t>生</w:t>
            </w:r>
            <w:r>
              <w:rPr>
                <w:rFonts w:ascii="宋体" w:hAnsi="宋体" w:eastAsia="宋体" w:cs="宋体"/>
                <w:color w:val="FFFFFF"/>
                <w:sz w:val="21"/>
                <w:szCs w:val="21"/>
              </w:rPr>
              <w:t xml:space="preserve"> </w:t>
            </w: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075" w:type="dxa"/>
            <w:tcBorders>
              <w:top w:val="nil"/>
              <w:left w:val="single" w:color="FFFFFF" w:sz="2" w:space="0"/>
              <w:bottom w:val="single" w:color="5B9BD5" w:themeColor="accent1" w:sz="4" w:space="0"/>
              <w:right w:val="nil"/>
            </w:tcBorders>
            <w:shd w:val="clear" w:color="auto" w:fill="2E74B5"/>
            <w:vAlign w:val="top"/>
          </w:tcPr>
          <w:p>
            <w:pPr>
              <w:spacing w:before="302" w:line="221" w:lineRule="auto"/>
              <w:ind w:left="171"/>
              <w:rPr>
                <w:rFonts w:ascii="宋体" w:hAnsi="宋体" w:eastAsia="宋体" w:cs="宋体"/>
                <w:sz w:val="21"/>
                <w:szCs w:val="21"/>
              </w:rPr>
            </w:pPr>
            <w:r>
              <w:rPr>
                <w:rFonts w:ascii="宋体" w:hAnsi="宋体" w:eastAsia="宋体" w:cs="宋体"/>
                <w:color w:val="FFFFFF"/>
                <w:spacing w:val="-2"/>
                <w:sz w:val="21"/>
                <w:szCs w:val="21"/>
                <w14:textOutline w14:w="3835" w14:cap="flat" w14:cmpd="sng">
                  <w14:solidFill>
                    <w14:srgbClr w14:val="FFFFFF"/>
                  </w14:solidFill>
                  <w14:prstDash w14:val="solid"/>
                  <w14:miter w14:val="0"/>
                </w14:textOutline>
              </w:rPr>
              <w:t>生师</w:t>
            </w: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比</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06" w:hRule="atLeast"/>
        </w:trPr>
        <w:tc>
          <w:tcPr>
            <w:tcW w:w="1918"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shd w:val="clear" w:color="auto" w:fill="BDD6EE"/>
            <w:vAlign w:val="top"/>
          </w:tcPr>
          <w:p>
            <w:pPr>
              <w:spacing w:before="36" w:line="220" w:lineRule="auto"/>
              <w:ind w:left="134"/>
              <w:rPr>
                <w:rFonts w:ascii="宋体" w:hAnsi="宋体" w:eastAsia="宋体" w:cs="宋体"/>
                <w:sz w:val="21"/>
                <w:szCs w:val="21"/>
              </w:rPr>
            </w:pPr>
            <w:r>
              <w:rPr>
                <w:rFonts w:ascii="Calibri" w:hAnsi="Calibri" w:eastAsia="Calibri" w:cs="Calibri"/>
                <w:spacing w:val="1"/>
                <w:sz w:val="21"/>
                <w:szCs w:val="21"/>
              </w:rPr>
              <w:t>20</w:t>
            </w:r>
            <w:r>
              <w:rPr>
                <w:rFonts w:hint="eastAsia" w:ascii="Calibri" w:hAnsi="Calibri" w:eastAsia="宋体" w:cs="Calibri"/>
                <w:spacing w:val="1"/>
                <w:sz w:val="21"/>
                <w:szCs w:val="21"/>
                <w:lang w:val="en-US" w:eastAsia="zh-CN"/>
              </w:rPr>
              <w:t>20</w:t>
            </w:r>
            <w:r>
              <w:rPr>
                <w:rFonts w:ascii="Calibri" w:hAnsi="Calibri" w:eastAsia="Calibri" w:cs="Calibri"/>
                <w:sz w:val="21"/>
                <w:szCs w:val="21"/>
              </w:rPr>
              <w:t>-202</w:t>
            </w:r>
            <w:r>
              <w:rPr>
                <w:rFonts w:hint="eastAsia" w:ascii="Calibri" w:hAnsi="Calibri" w:eastAsia="宋体" w:cs="Calibri"/>
                <w:sz w:val="21"/>
                <w:szCs w:val="21"/>
                <w:lang w:val="en-US" w:eastAsia="zh-CN"/>
              </w:rPr>
              <w:t>1</w:t>
            </w:r>
            <w:r>
              <w:rPr>
                <w:rFonts w:ascii="Calibri" w:hAnsi="Calibri" w:eastAsia="Calibri" w:cs="Calibri"/>
                <w:sz w:val="21"/>
                <w:szCs w:val="21"/>
              </w:rPr>
              <w:t xml:space="preserve"> </w:t>
            </w:r>
            <w:r>
              <w:rPr>
                <w:rFonts w:ascii="宋体" w:hAnsi="宋体" w:eastAsia="宋体" w:cs="宋体"/>
                <w:sz w:val="21"/>
                <w:szCs w:val="21"/>
              </w:rPr>
              <w:t>学年</w:t>
            </w:r>
          </w:p>
        </w:tc>
        <w:tc>
          <w:tcPr>
            <w:tcW w:w="1117"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0" w:line="179" w:lineRule="auto"/>
              <w:ind w:left="349"/>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217</w:t>
            </w:r>
          </w:p>
        </w:tc>
        <w:tc>
          <w:tcPr>
            <w:tcW w:w="1246"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0" w:line="179" w:lineRule="auto"/>
              <w:ind w:left="407"/>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178</w:t>
            </w:r>
          </w:p>
        </w:tc>
        <w:tc>
          <w:tcPr>
            <w:tcW w:w="1419"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0" w:line="179" w:lineRule="auto"/>
              <w:ind w:left="493"/>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27</w:t>
            </w:r>
          </w:p>
        </w:tc>
        <w:tc>
          <w:tcPr>
            <w:tcW w:w="1262"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0" w:line="179" w:lineRule="auto"/>
              <w:ind w:left="356"/>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3521</w:t>
            </w:r>
          </w:p>
        </w:tc>
        <w:tc>
          <w:tcPr>
            <w:tcW w:w="1075"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2" w:line="181" w:lineRule="auto"/>
              <w:ind w:left="177"/>
              <w:rPr>
                <w:rFonts w:hint="eastAsia" w:ascii="Calibri" w:hAnsi="Calibri" w:eastAsia="宋体" w:cs="Calibri"/>
                <w:sz w:val="21"/>
                <w:szCs w:val="21"/>
                <w:lang w:val="en-US" w:eastAsia="zh-CN"/>
              </w:rPr>
            </w:pPr>
            <w:r>
              <w:rPr>
                <w:rFonts w:hint="eastAsia" w:ascii="Calibri" w:hAnsi="Calibri" w:eastAsia="宋体" w:cs="Calibri"/>
                <w:sz w:val="21"/>
                <w:szCs w:val="21"/>
                <w:lang w:val="en-US" w:eastAsia="zh-CN"/>
              </w:rPr>
              <w:t>19.78:1</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07" w:hRule="atLeast"/>
        </w:trPr>
        <w:tc>
          <w:tcPr>
            <w:tcW w:w="1918"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shd w:val="clear" w:color="auto" w:fill="BDD6EE"/>
            <w:vAlign w:val="top"/>
          </w:tcPr>
          <w:p>
            <w:pPr>
              <w:spacing w:before="39" w:line="219" w:lineRule="auto"/>
              <w:ind w:left="134"/>
              <w:rPr>
                <w:rFonts w:ascii="宋体" w:hAnsi="宋体" w:eastAsia="宋体" w:cs="宋体"/>
                <w:sz w:val="21"/>
                <w:szCs w:val="21"/>
              </w:rPr>
            </w:pPr>
            <w:r>
              <w:rPr>
                <w:rFonts w:ascii="Calibri" w:hAnsi="Calibri" w:eastAsia="Calibri" w:cs="Calibri"/>
                <w:spacing w:val="1"/>
                <w:sz w:val="21"/>
                <w:szCs w:val="21"/>
              </w:rPr>
              <w:t>202</w:t>
            </w:r>
            <w:r>
              <w:rPr>
                <w:rFonts w:hint="eastAsia" w:ascii="Calibri" w:hAnsi="Calibri" w:eastAsia="宋体" w:cs="Calibri"/>
                <w:sz w:val="21"/>
                <w:szCs w:val="21"/>
                <w:lang w:val="en-US" w:eastAsia="zh-CN"/>
              </w:rPr>
              <w:t>1</w:t>
            </w:r>
            <w:r>
              <w:rPr>
                <w:rFonts w:ascii="Calibri" w:hAnsi="Calibri" w:eastAsia="Calibri" w:cs="Calibri"/>
                <w:sz w:val="21"/>
                <w:szCs w:val="21"/>
              </w:rPr>
              <w:t>-202</w:t>
            </w:r>
            <w:r>
              <w:rPr>
                <w:rFonts w:hint="eastAsia" w:ascii="Calibri" w:hAnsi="Calibri" w:eastAsia="宋体" w:cs="Calibri"/>
                <w:sz w:val="21"/>
                <w:szCs w:val="21"/>
                <w:lang w:val="en-US" w:eastAsia="zh-CN"/>
              </w:rPr>
              <w:t>2</w:t>
            </w:r>
            <w:r>
              <w:rPr>
                <w:rFonts w:ascii="Calibri" w:hAnsi="Calibri" w:eastAsia="Calibri" w:cs="Calibri"/>
                <w:sz w:val="21"/>
                <w:szCs w:val="21"/>
              </w:rPr>
              <w:t xml:space="preserve"> </w:t>
            </w:r>
            <w:r>
              <w:rPr>
                <w:rFonts w:ascii="宋体" w:hAnsi="宋体" w:eastAsia="宋体" w:cs="宋体"/>
                <w:sz w:val="21"/>
                <w:szCs w:val="21"/>
              </w:rPr>
              <w:t>学年</w:t>
            </w:r>
          </w:p>
        </w:tc>
        <w:tc>
          <w:tcPr>
            <w:tcW w:w="1117"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349"/>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246</w:t>
            </w:r>
          </w:p>
        </w:tc>
        <w:tc>
          <w:tcPr>
            <w:tcW w:w="1246"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407"/>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216</w:t>
            </w:r>
          </w:p>
        </w:tc>
        <w:tc>
          <w:tcPr>
            <w:tcW w:w="1419"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493"/>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54</w:t>
            </w:r>
          </w:p>
        </w:tc>
        <w:tc>
          <w:tcPr>
            <w:tcW w:w="1262"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356"/>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4214</w:t>
            </w:r>
          </w:p>
        </w:tc>
        <w:tc>
          <w:tcPr>
            <w:tcW w:w="1075"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2" w:line="181" w:lineRule="auto"/>
              <w:ind w:left="177"/>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19.51:1</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12" w:hRule="atLeast"/>
        </w:trPr>
        <w:tc>
          <w:tcPr>
            <w:tcW w:w="1918"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shd w:val="clear" w:color="auto" w:fill="BDD6EE"/>
            <w:vAlign w:val="top"/>
          </w:tcPr>
          <w:p>
            <w:pPr>
              <w:spacing w:before="39" w:line="219" w:lineRule="auto"/>
              <w:ind w:left="134"/>
              <w:jc w:val="center"/>
              <w:rPr>
                <w:rFonts w:ascii="Calibri" w:hAnsi="Calibri" w:eastAsia="Calibri" w:cs="Calibri"/>
                <w:spacing w:val="1"/>
                <w:sz w:val="21"/>
                <w:szCs w:val="21"/>
              </w:rPr>
            </w:pPr>
            <w:r>
              <w:rPr>
                <w:rFonts w:ascii="宋体" w:hAnsi="宋体" w:eastAsia="宋体" w:cs="宋体"/>
                <w:spacing w:val="-2"/>
                <w:sz w:val="21"/>
                <w:szCs w:val="21"/>
              </w:rPr>
              <w:t>变</w:t>
            </w:r>
            <w:r>
              <w:rPr>
                <w:rFonts w:ascii="宋体" w:hAnsi="宋体" w:eastAsia="宋体" w:cs="宋体"/>
                <w:spacing w:val="-1"/>
                <w:sz w:val="21"/>
                <w:szCs w:val="21"/>
              </w:rPr>
              <w:t>化情况</w:t>
            </w:r>
          </w:p>
        </w:tc>
        <w:tc>
          <w:tcPr>
            <w:tcW w:w="1117"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349"/>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 xml:space="preserve">29 </w:t>
            </w:r>
            <w:r>
              <w:rPr>
                <w:rFonts w:hint="default" w:ascii="Arial" w:hAnsi="Arial" w:eastAsia="宋体" w:cs="Arial"/>
                <w:b/>
                <w:bCs/>
                <w:sz w:val="21"/>
                <w:szCs w:val="21"/>
                <w:lang w:val="en-US" w:eastAsia="zh-CN"/>
              </w:rPr>
              <w:t>↑</w:t>
            </w:r>
          </w:p>
        </w:tc>
        <w:tc>
          <w:tcPr>
            <w:tcW w:w="1246"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407"/>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 xml:space="preserve"> 38 </w:t>
            </w:r>
            <w:r>
              <w:rPr>
                <w:rFonts w:hint="default" w:ascii="Arial" w:hAnsi="Arial" w:eastAsia="宋体" w:cs="Arial"/>
                <w:b/>
                <w:bCs/>
                <w:sz w:val="21"/>
                <w:szCs w:val="21"/>
                <w:lang w:val="en-US" w:eastAsia="zh-CN"/>
              </w:rPr>
              <w:t>↑</w:t>
            </w:r>
          </w:p>
        </w:tc>
        <w:tc>
          <w:tcPr>
            <w:tcW w:w="1419"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493"/>
              <w:rPr>
                <w:rFonts w:hint="eastAsia" w:ascii="Calibri" w:hAnsi="Calibri" w:eastAsia="宋体" w:cs="Calibri"/>
                <w:sz w:val="21"/>
                <w:szCs w:val="21"/>
                <w:lang w:val="en-US" w:eastAsia="zh-CN"/>
              </w:rPr>
            </w:pPr>
            <w:r>
              <w:rPr>
                <w:rFonts w:hint="eastAsia" w:ascii="Calibri" w:hAnsi="Calibri" w:eastAsia="宋体" w:cs="Calibri"/>
                <w:sz w:val="21"/>
                <w:szCs w:val="21"/>
                <w:lang w:val="en-US" w:eastAsia="zh-CN"/>
              </w:rPr>
              <w:t xml:space="preserve">27 </w:t>
            </w:r>
            <w:r>
              <w:rPr>
                <w:rFonts w:hint="default" w:ascii="Arial" w:hAnsi="Arial" w:eastAsia="宋体" w:cs="Arial"/>
                <w:b/>
                <w:bCs/>
                <w:sz w:val="21"/>
                <w:szCs w:val="21"/>
                <w:lang w:val="en-US" w:eastAsia="zh-CN"/>
              </w:rPr>
              <w:t>↑</w:t>
            </w:r>
          </w:p>
        </w:tc>
        <w:tc>
          <w:tcPr>
            <w:tcW w:w="1262"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3" w:line="179" w:lineRule="auto"/>
              <w:ind w:left="356"/>
              <w:rPr>
                <w:rFonts w:hint="eastAsia" w:ascii="Calibri" w:hAnsi="Calibri" w:eastAsia="宋体" w:cs="Calibri"/>
                <w:sz w:val="21"/>
                <w:szCs w:val="21"/>
                <w:lang w:val="en-US" w:eastAsia="zh-CN"/>
              </w:rPr>
            </w:pPr>
            <w:r>
              <w:rPr>
                <w:rFonts w:hint="eastAsia" w:ascii="Calibri" w:hAnsi="Calibri" w:eastAsia="宋体" w:cs="Calibri"/>
                <w:sz w:val="21"/>
                <w:szCs w:val="21"/>
                <w:lang w:val="en-US" w:eastAsia="zh-CN"/>
              </w:rPr>
              <w:t xml:space="preserve">693 </w:t>
            </w:r>
            <w:r>
              <w:rPr>
                <w:rFonts w:hint="default" w:ascii="Arial" w:hAnsi="Arial" w:eastAsia="宋体" w:cs="Arial"/>
                <w:b/>
                <w:bCs/>
                <w:sz w:val="21"/>
                <w:szCs w:val="21"/>
                <w:lang w:val="en-US" w:eastAsia="zh-CN"/>
              </w:rPr>
              <w:t>↑</w:t>
            </w:r>
          </w:p>
        </w:tc>
        <w:tc>
          <w:tcPr>
            <w:tcW w:w="1075" w:type="dxa"/>
            <w:tcBorders>
              <w:top w:val="single" w:color="5B9BD5" w:themeColor="accent1" w:sz="4" w:space="0"/>
              <w:left w:val="single" w:color="5B9BD5" w:themeColor="accent1" w:sz="4" w:space="0"/>
              <w:bottom w:val="single" w:color="5B9BD5" w:themeColor="accent1" w:sz="4" w:space="0"/>
              <w:right w:val="single" w:color="5B9BD5" w:themeColor="accent1" w:sz="4" w:space="0"/>
            </w:tcBorders>
            <w:vAlign w:val="top"/>
          </w:tcPr>
          <w:p>
            <w:pPr>
              <w:spacing w:before="82" w:line="181" w:lineRule="auto"/>
              <w:ind w:left="177" w:firstLine="210" w:firstLineChars="100"/>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w:t>
            </w:r>
          </w:p>
        </w:tc>
      </w:tr>
    </w:tbl>
    <w:p>
      <w:pPr>
        <w:spacing w:before="209" w:line="221" w:lineRule="auto"/>
        <w:ind w:left="784"/>
        <w:rPr>
          <w:rFonts w:ascii="宋体" w:hAnsi="宋体" w:eastAsia="宋体" w:cs="宋体"/>
          <w:sz w:val="21"/>
          <w:szCs w:val="21"/>
        </w:rPr>
      </w:pP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7</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20</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学年、</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5"/>
          <w:sz w:val="21"/>
          <w:szCs w:val="21"/>
        </w:rPr>
        <w:t xml:space="preserve"> </w:t>
      </w:r>
      <w:r>
        <w:rPr>
          <w:rFonts w:ascii="宋体" w:hAnsi="宋体" w:eastAsia="宋体" w:cs="宋体"/>
          <w:color w:val="1F4E79"/>
          <w:spacing w:val="-5"/>
          <w:sz w:val="21"/>
          <w:szCs w:val="21"/>
          <w14:textOutline w14:w="3835" w14:cap="flat" w14:cmpd="sng">
            <w14:solidFill>
              <w14:srgbClr w14:val="1F4E79"/>
            </w14:solidFill>
            <w14:prstDash w14:val="solid"/>
            <w14:miter w14:val="0"/>
          </w14:textOutline>
        </w:rPr>
        <w:t>学年我校专任教师学历及职称情况</w:t>
      </w:r>
      <w:r>
        <w:rPr>
          <w:rFonts w:ascii="宋体" w:hAnsi="宋体" w:eastAsia="宋体" w:cs="宋体"/>
          <w:color w:val="1F4E79"/>
          <w:sz w:val="21"/>
          <w:szCs w:val="21"/>
          <w14:textOutline w14:w="3835" w14:cap="flat" w14:cmpd="sng">
            <w14:solidFill>
              <w14:srgbClr w14:val="1F4E79"/>
            </w14:solidFill>
            <w14:prstDash w14:val="solid"/>
            <w14:miter w14:val="0"/>
          </w14:textOutline>
        </w:rPr>
        <w:t>表</w:t>
      </w:r>
    </w:p>
    <w:p>
      <w:pPr>
        <w:spacing w:line="129" w:lineRule="exact"/>
      </w:pPr>
    </w:p>
    <w:tbl>
      <w:tblPr>
        <w:tblStyle w:val="30"/>
        <w:tblW w:w="8351" w:type="dxa"/>
        <w:tblInd w:w="4"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1715"/>
        <w:gridCol w:w="1703"/>
        <w:gridCol w:w="1703"/>
        <w:gridCol w:w="1703"/>
        <w:gridCol w:w="1527"/>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636" w:hRule="atLeast"/>
        </w:trPr>
        <w:tc>
          <w:tcPr>
            <w:tcW w:w="1715" w:type="dxa"/>
            <w:tcBorders>
              <w:top w:val="single" w:color="5B9BD5" w:sz="2" w:space="0"/>
              <w:left w:val="single" w:color="FFFFFF" w:sz="2" w:space="0"/>
              <w:bottom w:val="single" w:color="5B9BD5" w:sz="2" w:space="0"/>
              <w:right w:val="single" w:color="FFFFFF" w:sz="2" w:space="0"/>
            </w:tcBorders>
            <w:shd w:val="clear" w:color="auto" w:fill="2E74B5"/>
            <w:vAlign w:val="top"/>
          </w:tcPr>
          <w:p>
            <w:pPr>
              <w:spacing w:before="211" w:line="221" w:lineRule="auto"/>
              <w:ind w:left="599"/>
              <w:rPr>
                <w:rFonts w:ascii="宋体" w:hAnsi="宋体" w:eastAsia="宋体" w:cs="宋体"/>
                <w:sz w:val="21"/>
                <w:szCs w:val="21"/>
              </w:rPr>
            </w:pPr>
            <w:r>
              <w:rPr>
                <w:rFonts w:ascii="宋体" w:hAnsi="宋体" w:eastAsia="宋体" w:cs="宋体"/>
                <w:color w:val="FFFFFF"/>
                <w:sz w:val="21"/>
                <w:szCs w:val="21"/>
                <w14:textOutline w14:w="3835" w14:cap="flat" w14:cmpd="sng">
                  <w14:solidFill>
                    <w14:srgbClr w14:val="FFFFFF"/>
                  </w14:solidFill>
                  <w14:prstDash w14:val="solid"/>
                  <w14:miter w14:val="0"/>
                </w14:textOutline>
              </w:rPr>
              <w:t>年</w:t>
            </w:r>
            <w:r>
              <w:rPr>
                <w:rFonts w:ascii="宋体" w:hAnsi="宋体" w:eastAsia="宋体" w:cs="宋体"/>
                <w:color w:val="FFFFFF"/>
                <w:sz w:val="21"/>
                <w:szCs w:val="21"/>
              </w:rPr>
              <w:t xml:space="preserve"> </w:t>
            </w:r>
            <w:r>
              <w:rPr>
                <w:rFonts w:ascii="宋体" w:hAnsi="宋体" w:eastAsia="宋体" w:cs="宋体"/>
                <w:color w:val="FFFFFF"/>
                <w:sz w:val="21"/>
                <w:szCs w:val="21"/>
                <w14:textOutline w14:w="3835" w14:cap="flat" w14:cmpd="sng">
                  <w14:solidFill>
                    <w14:srgbClr w14:val="FFFFFF"/>
                  </w14:solidFill>
                  <w14:prstDash w14:val="solid"/>
                  <w14:miter w14:val="0"/>
                </w14:textOutline>
              </w:rPr>
              <w:t>份</w:t>
            </w:r>
          </w:p>
        </w:tc>
        <w:tc>
          <w:tcPr>
            <w:tcW w:w="1703" w:type="dxa"/>
            <w:tcBorders>
              <w:top w:val="single" w:color="5B9BD5" w:sz="2" w:space="0"/>
              <w:left w:val="single" w:color="FFFFFF" w:sz="2" w:space="0"/>
              <w:bottom w:val="single" w:color="5B9BD5" w:sz="2" w:space="0"/>
              <w:right w:val="single" w:color="FFFFFF" w:sz="2" w:space="0"/>
            </w:tcBorders>
            <w:shd w:val="clear" w:color="auto" w:fill="2E74B5"/>
            <w:vAlign w:val="top"/>
          </w:tcPr>
          <w:p>
            <w:pPr>
              <w:spacing w:before="74" w:line="241" w:lineRule="auto"/>
              <w:ind w:left="434"/>
              <w:rPr>
                <w:rFonts w:ascii="宋体" w:hAnsi="宋体" w:eastAsia="宋体" w:cs="宋体"/>
                <w:sz w:val="21"/>
                <w:szCs w:val="21"/>
              </w:rPr>
            </w:pP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专任教师</w:t>
            </w:r>
          </w:p>
          <w:p>
            <w:pPr>
              <w:spacing w:line="220" w:lineRule="auto"/>
              <w:ind w:left="440"/>
              <w:rPr>
                <w:rFonts w:ascii="宋体" w:hAnsi="宋体" w:eastAsia="宋体" w:cs="宋体"/>
                <w:sz w:val="21"/>
                <w:szCs w:val="21"/>
              </w:rPr>
            </w:pP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703" w:type="dxa"/>
            <w:tcBorders>
              <w:top w:val="single" w:color="5B9BD5" w:sz="2" w:space="0"/>
              <w:left w:val="single" w:color="FFFFFF" w:sz="2" w:space="0"/>
              <w:bottom w:val="single" w:color="5B9BD5" w:sz="2" w:space="0"/>
              <w:right w:val="single" w:color="FFFFFF" w:sz="2" w:space="0"/>
            </w:tcBorders>
            <w:shd w:val="clear" w:color="auto" w:fill="2E74B5"/>
            <w:vAlign w:val="top"/>
          </w:tcPr>
          <w:p>
            <w:pPr>
              <w:spacing w:before="75" w:line="220" w:lineRule="auto"/>
              <w:ind w:left="224"/>
              <w:rPr>
                <w:rFonts w:ascii="宋体" w:hAnsi="宋体" w:eastAsia="宋体" w:cs="宋体"/>
                <w:sz w:val="21"/>
                <w:szCs w:val="21"/>
              </w:rPr>
            </w:pP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本科</w:t>
            </w:r>
            <w:r>
              <w:rPr>
                <w:rFonts w:ascii="宋体" w:hAnsi="宋体" w:eastAsia="宋体" w:cs="宋体"/>
                <w:color w:val="FFFFFF"/>
                <w:sz w:val="21"/>
                <w:szCs w:val="21"/>
                <w14:textOutline w14:w="3835" w14:cap="flat" w14:cmpd="sng">
                  <w14:solidFill>
                    <w14:srgbClr w14:val="FFFFFF"/>
                  </w14:solidFill>
                  <w14:prstDash w14:val="solid"/>
                  <w14:miter w14:val="0"/>
                </w14:textOutline>
              </w:rPr>
              <w:t>以上学历</w:t>
            </w:r>
          </w:p>
          <w:p>
            <w:pPr>
              <w:spacing w:before="23" w:line="221" w:lineRule="auto"/>
              <w:ind w:left="441"/>
              <w:rPr>
                <w:rFonts w:ascii="宋体" w:hAnsi="宋体" w:eastAsia="宋体" w:cs="宋体"/>
                <w:sz w:val="21"/>
                <w:szCs w:val="21"/>
              </w:rPr>
            </w:pP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703" w:type="dxa"/>
            <w:tcBorders>
              <w:top w:val="single" w:color="5B9BD5" w:sz="2" w:space="0"/>
              <w:left w:val="single" w:color="FFFFFF" w:sz="2" w:space="0"/>
              <w:bottom w:val="single" w:color="5B9BD5" w:sz="2" w:space="0"/>
              <w:right w:val="single" w:color="FFFFFF" w:sz="2" w:space="0"/>
            </w:tcBorders>
            <w:shd w:val="clear" w:color="auto" w:fill="2E74B5"/>
            <w:vAlign w:val="top"/>
          </w:tcPr>
          <w:p>
            <w:pPr>
              <w:spacing w:before="75" w:line="222" w:lineRule="auto"/>
              <w:ind w:left="225"/>
              <w:rPr>
                <w:rFonts w:ascii="宋体" w:hAnsi="宋体" w:eastAsia="宋体" w:cs="宋体"/>
                <w:sz w:val="21"/>
                <w:szCs w:val="21"/>
              </w:rPr>
            </w:pP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硕士</w:t>
            </w:r>
            <w:r>
              <w:rPr>
                <w:rFonts w:ascii="宋体" w:hAnsi="宋体" w:eastAsia="宋体" w:cs="宋体"/>
                <w:color w:val="FFFFFF"/>
                <w:sz w:val="21"/>
                <w:szCs w:val="21"/>
                <w14:textOutline w14:w="3835" w14:cap="flat" w14:cmpd="sng">
                  <w14:solidFill>
                    <w14:srgbClr w14:val="FFFFFF"/>
                  </w14:solidFill>
                  <w14:prstDash w14:val="solid"/>
                  <w14:miter w14:val="0"/>
                </w14:textOutline>
              </w:rPr>
              <w:t>以上学历</w:t>
            </w:r>
          </w:p>
          <w:p>
            <w:pPr>
              <w:spacing w:before="20" w:line="221" w:lineRule="auto"/>
              <w:ind w:left="442"/>
              <w:rPr>
                <w:rFonts w:ascii="宋体" w:hAnsi="宋体" w:eastAsia="宋体" w:cs="宋体"/>
                <w:sz w:val="21"/>
                <w:szCs w:val="21"/>
              </w:rPr>
            </w:pP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c>
          <w:tcPr>
            <w:tcW w:w="1527" w:type="dxa"/>
            <w:tcBorders>
              <w:top w:val="single" w:color="5B9BD5" w:sz="2" w:space="0"/>
              <w:left w:val="single" w:color="FFFFFF" w:sz="2" w:space="0"/>
              <w:bottom w:val="single" w:color="5B9BD5" w:sz="2" w:space="0"/>
              <w:right w:val="single" w:color="FFFFFF" w:sz="2" w:space="0"/>
            </w:tcBorders>
            <w:shd w:val="clear" w:color="auto" w:fill="2E74B5"/>
            <w:vAlign w:val="top"/>
          </w:tcPr>
          <w:p>
            <w:pPr>
              <w:spacing w:before="74" w:line="241" w:lineRule="auto"/>
              <w:ind w:left="353"/>
              <w:rPr>
                <w:rFonts w:ascii="宋体" w:hAnsi="宋体" w:eastAsia="宋体" w:cs="宋体"/>
                <w:sz w:val="21"/>
                <w:szCs w:val="21"/>
              </w:rPr>
            </w:pPr>
            <w:r>
              <w:rPr>
                <w:rFonts w:ascii="宋体" w:hAnsi="宋体" w:eastAsia="宋体" w:cs="宋体"/>
                <w:color w:val="FFFFFF"/>
                <w:spacing w:val="-2"/>
                <w:sz w:val="21"/>
                <w:szCs w:val="21"/>
                <w14:textOutline w14:w="3835" w14:cap="flat" w14:cmpd="sng">
                  <w14:solidFill>
                    <w14:srgbClr w14:val="FFFFFF"/>
                  </w14:solidFill>
                  <w14:prstDash w14:val="solid"/>
                  <w14:miter w14:val="0"/>
                </w14:textOutline>
              </w:rPr>
              <w:t>高级职</w:t>
            </w:r>
            <w:r>
              <w:rPr>
                <w:rFonts w:ascii="宋体" w:hAnsi="宋体" w:eastAsia="宋体" w:cs="宋体"/>
                <w:color w:val="FFFFFF"/>
                <w:spacing w:val="-1"/>
                <w:sz w:val="21"/>
                <w:szCs w:val="21"/>
                <w14:textOutline w14:w="3835" w14:cap="flat" w14:cmpd="sng">
                  <w14:solidFill>
                    <w14:srgbClr w14:val="FFFFFF"/>
                  </w14:solidFill>
                  <w14:prstDash w14:val="solid"/>
                  <w14:miter w14:val="0"/>
                </w14:textOutline>
              </w:rPr>
              <w:t>称</w:t>
            </w:r>
          </w:p>
          <w:p>
            <w:pPr>
              <w:spacing w:line="220" w:lineRule="auto"/>
              <w:ind w:left="354"/>
              <w:rPr>
                <w:rFonts w:ascii="宋体" w:hAnsi="宋体" w:eastAsia="宋体" w:cs="宋体"/>
                <w:sz w:val="21"/>
                <w:szCs w:val="21"/>
              </w:rPr>
            </w:pPr>
            <w:r>
              <w:rPr>
                <w:rFonts w:ascii="宋体" w:hAnsi="宋体" w:eastAsia="宋体" w:cs="宋体"/>
                <w:color w:val="FFFFFF"/>
                <w:spacing w:val="20"/>
                <w:sz w:val="21"/>
                <w:szCs w:val="21"/>
                <w14:textOutline w14:w="3835" w14:cap="flat" w14:cmpd="sng">
                  <w14:solidFill>
                    <w14:srgbClr w14:val="FFFFFF"/>
                  </w14:solidFill>
                  <w14:prstDash w14:val="solid"/>
                  <w14:miter w14:val="0"/>
                </w14:textOutline>
              </w:rPr>
              <w:t>(人数)</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87" w:hRule="atLeast"/>
        </w:trPr>
        <w:tc>
          <w:tcPr>
            <w:tcW w:w="1715" w:type="dxa"/>
            <w:shd w:val="clear" w:color="auto" w:fill="BDD6EE"/>
            <w:vAlign w:val="top"/>
          </w:tcPr>
          <w:p>
            <w:pPr>
              <w:spacing w:before="36" w:line="220" w:lineRule="auto"/>
              <w:ind w:left="172"/>
              <w:rPr>
                <w:rFonts w:ascii="宋体" w:hAnsi="宋体" w:eastAsia="宋体" w:cs="宋体"/>
                <w:sz w:val="21"/>
                <w:szCs w:val="21"/>
              </w:rPr>
            </w:pPr>
            <w:r>
              <w:rPr>
                <w:rFonts w:ascii="Calibri" w:hAnsi="Calibri" w:eastAsia="Calibri" w:cs="Calibri"/>
                <w:spacing w:val="1"/>
                <w:sz w:val="21"/>
                <w:szCs w:val="21"/>
              </w:rPr>
              <w:t>20</w:t>
            </w:r>
            <w:r>
              <w:rPr>
                <w:rFonts w:hint="eastAsia" w:ascii="Calibri" w:hAnsi="Calibri" w:eastAsia="宋体" w:cs="Calibri"/>
                <w:spacing w:val="1"/>
                <w:sz w:val="21"/>
                <w:szCs w:val="21"/>
                <w:lang w:val="en-US" w:eastAsia="zh-CN"/>
              </w:rPr>
              <w:t>20</w:t>
            </w:r>
            <w:r>
              <w:rPr>
                <w:rFonts w:ascii="Calibri" w:hAnsi="Calibri" w:eastAsia="Calibri" w:cs="Calibri"/>
                <w:sz w:val="21"/>
                <w:szCs w:val="21"/>
              </w:rPr>
              <w:t>-202</w:t>
            </w:r>
            <w:r>
              <w:rPr>
                <w:rFonts w:hint="eastAsia" w:ascii="Calibri" w:hAnsi="Calibri" w:eastAsia="宋体" w:cs="Calibri"/>
                <w:sz w:val="21"/>
                <w:szCs w:val="21"/>
                <w:lang w:val="en-US" w:eastAsia="zh-CN"/>
              </w:rPr>
              <w:t>1</w:t>
            </w:r>
            <w:r>
              <w:rPr>
                <w:rFonts w:ascii="Calibri" w:hAnsi="Calibri" w:eastAsia="Calibri" w:cs="Calibri"/>
                <w:sz w:val="21"/>
                <w:szCs w:val="21"/>
              </w:rPr>
              <w:t xml:space="preserve"> </w:t>
            </w:r>
            <w:r>
              <w:rPr>
                <w:rFonts w:ascii="宋体" w:hAnsi="宋体" w:eastAsia="宋体" w:cs="宋体"/>
                <w:sz w:val="21"/>
                <w:szCs w:val="21"/>
              </w:rPr>
              <w:t>学年</w:t>
            </w:r>
          </w:p>
        </w:tc>
        <w:tc>
          <w:tcPr>
            <w:tcW w:w="1703" w:type="dxa"/>
            <w:vAlign w:val="top"/>
          </w:tcPr>
          <w:p>
            <w:pPr>
              <w:spacing w:before="82" w:line="179" w:lineRule="auto"/>
              <w:ind w:left="699"/>
              <w:rPr>
                <w:rFonts w:hint="default" w:ascii="Calibri" w:hAnsi="Calibri" w:eastAsia="宋体" w:cs="Calibri"/>
                <w:sz w:val="21"/>
                <w:szCs w:val="21"/>
                <w:lang w:val="en-US" w:eastAsia="zh-CN"/>
              </w:rPr>
            </w:pPr>
            <w:r>
              <w:rPr>
                <w:rFonts w:hint="eastAsia" w:ascii="Calibri" w:hAnsi="Calibri" w:eastAsia="宋体" w:cs="Calibri"/>
                <w:spacing w:val="-5"/>
                <w:sz w:val="21"/>
                <w:szCs w:val="21"/>
                <w:lang w:val="en-US" w:eastAsia="zh-CN"/>
              </w:rPr>
              <w:t xml:space="preserve"> 178</w:t>
            </w:r>
          </w:p>
        </w:tc>
        <w:tc>
          <w:tcPr>
            <w:tcW w:w="1703" w:type="dxa"/>
            <w:vAlign w:val="top"/>
          </w:tcPr>
          <w:p>
            <w:pPr>
              <w:spacing w:before="82" w:line="179" w:lineRule="auto"/>
              <w:ind w:left="700"/>
              <w:rPr>
                <w:rFonts w:hint="default" w:ascii="Calibri" w:hAnsi="Calibri" w:eastAsia="宋体" w:cs="Calibri"/>
                <w:sz w:val="21"/>
                <w:szCs w:val="21"/>
                <w:lang w:val="en-US" w:eastAsia="zh-CN"/>
              </w:rPr>
            </w:pPr>
            <w:r>
              <w:rPr>
                <w:rFonts w:hint="eastAsia" w:ascii="Calibri" w:hAnsi="Calibri" w:eastAsia="宋体" w:cs="Calibri"/>
                <w:spacing w:val="-5"/>
                <w:sz w:val="21"/>
                <w:szCs w:val="21"/>
                <w:lang w:val="en-US" w:eastAsia="zh-CN"/>
              </w:rPr>
              <w:t>168</w:t>
            </w:r>
          </w:p>
        </w:tc>
        <w:tc>
          <w:tcPr>
            <w:tcW w:w="1703" w:type="dxa"/>
            <w:vAlign w:val="top"/>
          </w:tcPr>
          <w:p>
            <w:pPr>
              <w:spacing w:before="82" w:line="179" w:lineRule="auto"/>
              <w:ind w:firstLine="606" w:firstLineChars="300"/>
              <w:rPr>
                <w:rFonts w:hint="default" w:ascii="Calibri" w:hAnsi="Calibri" w:eastAsia="宋体" w:cs="Calibri"/>
                <w:sz w:val="21"/>
                <w:szCs w:val="21"/>
                <w:lang w:val="en-US" w:eastAsia="zh-CN"/>
              </w:rPr>
            </w:pPr>
            <w:r>
              <w:rPr>
                <w:rFonts w:hint="eastAsia" w:ascii="Calibri" w:hAnsi="Calibri" w:eastAsia="宋体" w:cs="Calibri"/>
                <w:spacing w:val="-4"/>
                <w:sz w:val="21"/>
                <w:szCs w:val="21"/>
                <w:lang w:val="en-US" w:eastAsia="zh-CN"/>
              </w:rPr>
              <w:t xml:space="preserve"> 23</w:t>
            </w:r>
          </w:p>
        </w:tc>
        <w:tc>
          <w:tcPr>
            <w:tcW w:w="1527" w:type="dxa"/>
            <w:vAlign w:val="top"/>
          </w:tcPr>
          <w:p>
            <w:pPr>
              <w:spacing w:before="82" w:line="179" w:lineRule="auto"/>
              <w:ind w:left="664"/>
              <w:rPr>
                <w:rFonts w:hint="default" w:ascii="Calibri" w:hAnsi="Calibri" w:eastAsia="宋体" w:cs="Calibri"/>
                <w:sz w:val="21"/>
                <w:szCs w:val="21"/>
                <w:lang w:val="en-US" w:eastAsia="zh-CN"/>
              </w:rPr>
            </w:pPr>
            <w:r>
              <w:rPr>
                <w:rFonts w:hint="eastAsia" w:ascii="Calibri" w:hAnsi="Calibri" w:eastAsia="宋体" w:cs="Calibri"/>
                <w:spacing w:val="-4"/>
                <w:sz w:val="21"/>
                <w:szCs w:val="21"/>
                <w:lang w:val="en-US" w:eastAsia="zh-CN"/>
              </w:rPr>
              <w:t xml:space="preserve"> 10</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89" w:hRule="atLeast"/>
        </w:trPr>
        <w:tc>
          <w:tcPr>
            <w:tcW w:w="1715" w:type="dxa"/>
            <w:shd w:val="clear" w:color="auto" w:fill="BDD6EE"/>
            <w:vAlign w:val="top"/>
          </w:tcPr>
          <w:p>
            <w:pPr>
              <w:spacing w:before="39" w:line="219" w:lineRule="auto"/>
              <w:ind w:left="172"/>
              <w:rPr>
                <w:rFonts w:ascii="宋体" w:hAnsi="宋体" w:eastAsia="宋体" w:cs="宋体"/>
                <w:sz w:val="21"/>
                <w:szCs w:val="21"/>
              </w:rPr>
            </w:pPr>
            <w:r>
              <w:rPr>
                <w:rFonts w:ascii="Calibri" w:hAnsi="Calibri" w:eastAsia="Calibri" w:cs="Calibri"/>
                <w:spacing w:val="1"/>
                <w:sz w:val="21"/>
                <w:szCs w:val="21"/>
              </w:rPr>
              <w:t>202</w:t>
            </w:r>
            <w:r>
              <w:rPr>
                <w:rFonts w:hint="eastAsia" w:ascii="Calibri" w:hAnsi="Calibri" w:eastAsia="宋体" w:cs="Calibri"/>
                <w:sz w:val="21"/>
                <w:szCs w:val="21"/>
                <w:lang w:val="en-US" w:eastAsia="zh-CN"/>
              </w:rPr>
              <w:t>1</w:t>
            </w:r>
            <w:r>
              <w:rPr>
                <w:rFonts w:ascii="Calibri" w:hAnsi="Calibri" w:eastAsia="Calibri" w:cs="Calibri"/>
                <w:sz w:val="21"/>
                <w:szCs w:val="21"/>
              </w:rPr>
              <w:t>-202</w:t>
            </w:r>
            <w:r>
              <w:rPr>
                <w:rFonts w:hint="eastAsia" w:ascii="Calibri" w:hAnsi="Calibri" w:eastAsia="宋体" w:cs="Calibri"/>
                <w:sz w:val="21"/>
                <w:szCs w:val="21"/>
                <w:lang w:val="en-US" w:eastAsia="zh-CN"/>
              </w:rPr>
              <w:t>2</w:t>
            </w:r>
            <w:r>
              <w:rPr>
                <w:rFonts w:ascii="Calibri" w:hAnsi="Calibri" w:eastAsia="Calibri" w:cs="Calibri"/>
                <w:sz w:val="21"/>
                <w:szCs w:val="21"/>
              </w:rPr>
              <w:t xml:space="preserve"> </w:t>
            </w:r>
            <w:r>
              <w:rPr>
                <w:rFonts w:ascii="宋体" w:hAnsi="宋体" w:eastAsia="宋体" w:cs="宋体"/>
                <w:sz w:val="21"/>
                <w:szCs w:val="21"/>
              </w:rPr>
              <w:t>学年</w:t>
            </w:r>
          </w:p>
        </w:tc>
        <w:tc>
          <w:tcPr>
            <w:tcW w:w="1703" w:type="dxa"/>
            <w:vAlign w:val="top"/>
          </w:tcPr>
          <w:p>
            <w:pPr>
              <w:spacing w:before="83" w:line="179" w:lineRule="auto"/>
              <w:ind w:left="699"/>
              <w:rPr>
                <w:rFonts w:hint="default" w:ascii="Calibri" w:hAnsi="Calibri" w:eastAsia="宋体" w:cs="Calibri"/>
                <w:sz w:val="21"/>
                <w:szCs w:val="21"/>
                <w:lang w:val="en-US" w:eastAsia="zh-CN"/>
              </w:rPr>
            </w:pPr>
            <w:r>
              <w:rPr>
                <w:rFonts w:hint="eastAsia" w:ascii="Calibri" w:hAnsi="Calibri" w:eastAsia="宋体" w:cs="Calibri"/>
                <w:spacing w:val="-4"/>
                <w:sz w:val="21"/>
                <w:szCs w:val="21"/>
                <w:lang w:val="en-US" w:eastAsia="zh-CN"/>
              </w:rPr>
              <w:t xml:space="preserve"> 216</w:t>
            </w:r>
          </w:p>
        </w:tc>
        <w:tc>
          <w:tcPr>
            <w:tcW w:w="1703" w:type="dxa"/>
            <w:vAlign w:val="top"/>
          </w:tcPr>
          <w:p>
            <w:pPr>
              <w:spacing w:before="83" w:line="179" w:lineRule="auto"/>
              <w:ind w:left="700"/>
              <w:rPr>
                <w:rFonts w:hint="default" w:ascii="Calibri" w:hAnsi="Calibri" w:eastAsia="宋体" w:cs="Calibri"/>
                <w:sz w:val="21"/>
                <w:szCs w:val="21"/>
                <w:lang w:val="en-US" w:eastAsia="zh-CN"/>
              </w:rPr>
            </w:pPr>
            <w:r>
              <w:rPr>
                <w:rFonts w:hint="eastAsia" w:ascii="Calibri" w:hAnsi="Calibri" w:eastAsia="宋体" w:cs="Calibri"/>
                <w:spacing w:val="-5"/>
                <w:sz w:val="21"/>
                <w:szCs w:val="21"/>
                <w:lang w:val="en-US" w:eastAsia="zh-CN"/>
              </w:rPr>
              <w:t>206</w:t>
            </w:r>
          </w:p>
        </w:tc>
        <w:tc>
          <w:tcPr>
            <w:tcW w:w="1703" w:type="dxa"/>
            <w:vAlign w:val="top"/>
          </w:tcPr>
          <w:p>
            <w:pPr>
              <w:spacing w:before="83" w:line="179" w:lineRule="auto"/>
              <w:ind w:left="707"/>
              <w:rPr>
                <w:rFonts w:hint="eastAsia" w:ascii="Calibri" w:hAnsi="Calibri" w:eastAsia="宋体" w:cs="Calibri"/>
                <w:sz w:val="21"/>
                <w:szCs w:val="21"/>
                <w:lang w:eastAsia="zh-CN"/>
              </w:rPr>
            </w:pPr>
            <w:r>
              <w:rPr>
                <w:rFonts w:hint="eastAsia" w:ascii="Calibri" w:hAnsi="Calibri" w:eastAsia="宋体" w:cs="Calibri"/>
                <w:spacing w:val="-7"/>
                <w:sz w:val="21"/>
                <w:szCs w:val="21"/>
                <w:lang w:val="en-US" w:eastAsia="zh-CN"/>
              </w:rPr>
              <w:t xml:space="preserve">23 </w:t>
            </w:r>
          </w:p>
        </w:tc>
        <w:tc>
          <w:tcPr>
            <w:tcW w:w="1527" w:type="dxa"/>
            <w:vAlign w:val="top"/>
          </w:tcPr>
          <w:p>
            <w:pPr>
              <w:spacing w:before="84" w:line="178" w:lineRule="auto"/>
              <w:ind w:left="664"/>
              <w:rPr>
                <w:rFonts w:hint="default" w:ascii="Calibri" w:hAnsi="Calibri" w:eastAsia="宋体" w:cs="Calibri"/>
                <w:sz w:val="21"/>
                <w:szCs w:val="21"/>
                <w:lang w:val="en-US" w:eastAsia="zh-CN"/>
              </w:rPr>
            </w:pPr>
            <w:r>
              <w:rPr>
                <w:rFonts w:hint="eastAsia" w:ascii="Calibri" w:hAnsi="Calibri" w:eastAsia="宋体" w:cs="Calibri"/>
                <w:spacing w:val="-4"/>
                <w:sz w:val="21"/>
                <w:szCs w:val="21"/>
                <w:lang w:val="en-US" w:eastAsia="zh-CN"/>
              </w:rPr>
              <w:t xml:space="preserve"> 10</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291" w:hRule="atLeast"/>
        </w:trPr>
        <w:tc>
          <w:tcPr>
            <w:tcW w:w="1715" w:type="dxa"/>
            <w:shd w:val="clear" w:color="auto" w:fill="BDD6EE"/>
            <w:vAlign w:val="top"/>
          </w:tcPr>
          <w:p>
            <w:pPr>
              <w:spacing w:before="38" w:line="221" w:lineRule="auto"/>
              <w:ind w:left="442"/>
              <w:rPr>
                <w:rFonts w:ascii="宋体" w:hAnsi="宋体" w:eastAsia="宋体" w:cs="宋体"/>
                <w:sz w:val="21"/>
                <w:szCs w:val="21"/>
              </w:rPr>
            </w:pPr>
            <w:r>
              <w:rPr>
                <w:rFonts w:ascii="宋体" w:hAnsi="宋体" w:eastAsia="宋体" w:cs="宋体"/>
                <w:spacing w:val="-2"/>
                <w:sz w:val="21"/>
                <w:szCs w:val="21"/>
              </w:rPr>
              <w:t>变</w:t>
            </w:r>
            <w:r>
              <w:rPr>
                <w:rFonts w:ascii="宋体" w:hAnsi="宋体" w:eastAsia="宋体" w:cs="宋体"/>
                <w:spacing w:val="-1"/>
                <w:sz w:val="21"/>
                <w:szCs w:val="21"/>
              </w:rPr>
              <w:t>化情况</w:t>
            </w:r>
          </w:p>
        </w:tc>
        <w:tc>
          <w:tcPr>
            <w:tcW w:w="1703" w:type="dxa"/>
            <w:vAlign w:val="top"/>
          </w:tcPr>
          <w:p>
            <w:pPr>
              <w:spacing w:before="84" w:line="179" w:lineRule="auto"/>
              <w:ind w:left="802"/>
              <w:rPr>
                <w:rFonts w:ascii="Calibri" w:hAnsi="Calibri" w:eastAsia="Calibri" w:cs="Calibri"/>
                <w:sz w:val="21"/>
                <w:szCs w:val="21"/>
              </w:rPr>
            </w:pPr>
            <w:r>
              <w:rPr>
                <w:rFonts w:hint="eastAsia" w:ascii="Calibri" w:hAnsi="Calibri" w:eastAsia="宋体" w:cs="Calibri"/>
                <w:sz w:val="21"/>
                <w:szCs w:val="21"/>
                <w:lang w:val="en-US" w:eastAsia="zh-CN"/>
              </w:rPr>
              <w:t xml:space="preserve">38 </w:t>
            </w:r>
            <w:r>
              <w:rPr>
                <w:rFonts w:hint="default" w:ascii="Arial" w:hAnsi="Arial" w:eastAsia="宋体" w:cs="Arial"/>
                <w:b/>
                <w:bCs/>
                <w:sz w:val="21"/>
                <w:szCs w:val="21"/>
                <w:lang w:val="en-US" w:eastAsia="zh-CN"/>
              </w:rPr>
              <w:t>↑</w:t>
            </w:r>
          </w:p>
        </w:tc>
        <w:tc>
          <w:tcPr>
            <w:tcW w:w="1703" w:type="dxa"/>
            <w:vAlign w:val="top"/>
          </w:tcPr>
          <w:p>
            <w:pPr>
              <w:spacing w:before="84" w:line="179" w:lineRule="auto"/>
              <w:ind w:left="804"/>
              <w:rPr>
                <w:rFonts w:hint="eastAsia" w:ascii="Calibri" w:hAnsi="Calibri" w:eastAsia="宋体" w:cs="Calibri"/>
                <w:sz w:val="21"/>
                <w:szCs w:val="21"/>
                <w:lang w:eastAsia="zh-CN"/>
              </w:rPr>
            </w:pPr>
            <w:r>
              <w:rPr>
                <w:rFonts w:hint="eastAsia" w:ascii="Calibri" w:hAnsi="Calibri" w:eastAsia="宋体" w:cs="Calibri"/>
                <w:sz w:val="21"/>
                <w:szCs w:val="21"/>
                <w:lang w:val="en-US" w:eastAsia="zh-CN"/>
              </w:rPr>
              <w:t xml:space="preserve">38 </w:t>
            </w:r>
            <w:r>
              <w:rPr>
                <w:rFonts w:hint="default" w:ascii="Arial" w:hAnsi="Arial" w:eastAsia="宋体" w:cs="Arial"/>
                <w:b/>
                <w:bCs/>
                <w:sz w:val="21"/>
                <w:szCs w:val="21"/>
                <w:lang w:val="en-US" w:eastAsia="zh-CN"/>
              </w:rPr>
              <w:t>↑</w:t>
            </w:r>
            <w:r>
              <w:rPr>
                <w:rFonts w:hint="eastAsia" w:ascii="Calibri" w:hAnsi="Calibri" w:eastAsia="宋体" w:cs="Calibri"/>
                <w:sz w:val="21"/>
                <w:szCs w:val="21"/>
                <w:lang w:val="en-US" w:eastAsia="zh-CN"/>
              </w:rPr>
              <w:t xml:space="preserve"> </w:t>
            </w:r>
          </w:p>
        </w:tc>
        <w:tc>
          <w:tcPr>
            <w:tcW w:w="1703" w:type="dxa"/>
            <w:vAlign w:val="top"/>
          </w:tcPr>
          <w:p>
            <w:pPr>
              <w:spacing w:before="84" w:line="179" w:lineRule="auto"/>
              <w:ind w:left="808"/>
              <w:rPr>
                <w:rFonts w:hint="eastAsia" w:ascii="Calibri" w:hAnsi="Calibri" w:eastAsia="宋体" w:cs="Calibri"/>
                <w:sz w:val="21"/>
                <w:szCs w:val="21"/>
                <w:lang w:eastAsia="zh-CN"/>
              </w:rPr>
            </w:pPr>
            <w:r>
              <w:rPr>
                <w:rFonts w:hint="eastAsia" w:ascii="Calibri" w:hAnsi="Calibri" w:eastAsia="宋体" w:cs="Calibri"/>
                <w:sz w:val="21"/>
                <w:szCs w:val="21"/>
                <w:lang w:val="en-US" w:eastAsia="zh-CN"/>
              </w:rPr>
              <w:t xml:space="preserve">— </w:t>
            </w:r>
          </w:p>
        </w:tc>
        <w:tc>
          <w:tcPr>
            <w:tcW w:w="1527" w:type="dxa"/>
            <w:vAlign w:val="top"/>
          </w:tcPr>
          <w:p>
            <w:pPr>
              <w:spacing w:before="86" w:line="178" w:lineRule="auto"/>
              <w:ind w:left="711"/>
              <w:rPr>
                <w:rFonts w:hint="eastAsia" w:ascii="Calibri" w:hAnsi="Calibri" w:eastAsia="宋体" w:cs="Calibri"/>
                <w:sz w:val="21"/>
                <w:szCs w:val="21"/>
                <w:lang w:eastAsia="zh-CN"/>
              </w:rPr>
            </w:pPr>
            <w:r>
              <w:rPr>
                <w:rFonts w:hint="eastAsia" w:ascii="Calibri" w:hAnsi="Calibri" w:eastAsia="宋体" w:cs="Calibri"/>
                <w:sz w:val="21"/>
                <w:szCs w:val="21"/>
                <w:lang w:val="en-US" w:eastAsia="zh-CN"/>
              </w:rPr>
              <w:t xml:space="preserve"> —</w:t>
            </w:r>
          </w:p>
        </w:tc>
      </w:tr>
    </w:tbl>
    <w:p>
      <w:pPr>
        <w:rPr>
          <w:rFonts w:hint="eastAsia"/>
          <w:lang w:val="en-US" w:eastAsia="zh-CN"/>
        </w:rPr>
      </w:pPr>
    </w:p>
    <w:p>
      <w:pPr>
        <w:pStyle w:val="5"/>
        <w:bidi w:val="0"/>
        <w:rPr>
          <w:rFonts w:hint="default" w:ascii="仿宋_GB2312" w:hAnsi="仿宋_GB2312" w:eastAsia="仿宋_GB2312" w:cs="仿宋_GB2312"/>
          <w:b/>
          <w:bCs/>
          <w:color w:val="0C0C0C"/>
          <w:kern w:val="0"/>
          <w:sz w:val="32"/>
          <w:szCs w:val="32"/>
          <w:lang w:val="en-US" w:eastAsia="zh-CN" w:bidi="ar-SA"/>
        </w:rPr>
      </w:pPr>
      <w:bookmarkStart w:id="54" w:name="_Toc25677"/>
      <w:r>
        <w:rPr>
          <w:rFonts w:hint="eastAsia" w:ascii="仿宋_GB2312" w:hAnsi="仿宋_GB2312" w:eastAsia="仿宋_GB2312" w:cs="仿宋_GB2312"/>
          <w:b/>
          <w:bCs/>
          <w:color w:val="0C0C0C"/>
          <w:kern w:val="0"/>
          <w:sz w:val="32"/>
          <w:szCs w:val="32"/>
          <w:lang w:val="en-US" w:eastAsia="zh-CN" w:bidi="ar-SA"/>
        </w:rPr>
        <w:t>3.6.2“双师”素质提升建设</w:t>
      </w:r>
      <w:bookmarkEnd w:id="54"/>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坚持教师为育人根本，致力构建教师队伍成长发展体系，学校教师积极参加职业教育教师国家级培训、省级培训项目、 高校教师岗前培训。着重强调教师队伍管理和激励机制、新教师入职、兼职教师聘任、教师培养培训模式、教学创新团队建设、教育教学研究等方面，以专业负责人、专业群建设带头人和骨干教师能力提升为重点，通过老带新、校内交流等多种方式，着力提升教师专业能力、实践创新能力、信息技术应用能力、教育教学研究能力，建成一支专兼结合、 结构合理的高水平“双师型”师资队伍。鼓励学校青年教师参加各类教学能力大赛、思政课教学比赛，促进校企合作培养双师型教师等多种举措，</w:t>
      </w:r>
      <w:bookmarkStart w:id="55" w:name="_bookmark15"/>
      <w:bookmarkEnd w:id="55"/>
      <w:r>
        <w:rPr>
          <w:rFonts w:hint="eastAsia" w:ascii="仿宋_GB2312" w:hAnsi="宋体" w:eastAsia="仿宋_GB2312" w:cs="宋体"/>
          <w:color w:val="000000"/>
          <w:kern w:val="0"/>
          <w:sz w:val="32"/>
          <w:szCs w:val="32"/>
          <w:lang w:val="en-US" w:eastAsia="zh-CN" w:bidi="ar-SA"/>
        </w:rPr>
        <w:t>全方位提升教师整体素质。</w:t>
      </w:r>
    </w:p>
    <w:p>
      <w:pPr>
        <w:pStyle w:val="5"/>
        <w:bidi w:val="0"/>
        <w:rPr>
          <w:rFonts w:hint="eastAsia" w:ascii="仿宋_GB2312" w:hAnsi="宋体" w:eastAsia="仿宋_GB2312" w:cs="宋体"/>
          <w:color w:val="000000"/>
          <w:kern w:val="0"/>
          <w:sz w:val="32"/>
          <w:szCs w:val="32"/>
          <w:lang w:val="en-US" w:eastAsia="zh-CN" w:bidi="ar-SA"/>
        </w:rPr>
      </w:pPr>
      <w:bookmarkStart w:id="56" w:name="_Toc20658"/>
      <w:r>
        <w:rPr>
          <w:rFonts w:hint="eastAsia" w:ascii="仿宋_GB2312" w:hAnsi="仿宋_GB2312" w:eastAsia="仿宋_GB2312" w:cs="仿宋_GB2312"/>
          <w:b/>
          <w:bCs/>
          <w:color w:val="0C0C0C"/>
          <w:kern w:val="0"/>
          <w:sz w:val="32"/>
          <w:szCs w:val="32"/>
          <w:lang w:val="en-US" w:eastAsia="zh-CN" w:bidi="ar-SA"/>
        </w:rPr>
        <w:t>3.6.3 教师获奖情况</w:t>
      </w:r>
      <w:bookmarkEnd w:id="56"/>
    </w:p>
    <w:p>
      <w:pPr>
        <w:spacing w:before="144" w:line="319" w:lineRule="auto"/>
        <w:ind w:firstLine="572"/>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2021-2022学年我校教师积极参加各级各类技能比赛，在省级以上技能比赛中获奖8项，在省级职业院校技能大赛教学能力比赛中获得了 1个一 等奖、 1 个二等奖、4 个三等奖，在全国职业院校技能大赛教学能力比赛中更是获得了 1个三等奖的好成绩。具体获奖情况如下表 ：</w:t>
      </w:r>
    </w:p>
    <w:p>
      <w:pPr>
        <w:spacing w:before="1" w:line="220" w:lineRule="auto"/>
        <w:ind w:left="1694"/>
        <w:rPr>
          <w:rFonts w:ascii="宋体" w:hAnsi="宋体" w:eastAsia="宋体" w:cs="宋体"/>
          <w:sz w:val="21"/>
          <w:szCs w:val="21"/>
        </w:rPr>
      </w:pP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 xml:space="preserve">8  </w:t>
      </w:r>
      <w:r>
        <w:rPr>
          <w:rFonts w:ascii="宋体" w:hAnsi="宋体" w:eastAsia="宋体" w:cs="宋体"/>
          <w:color w:val="1F4E79"/>
          <w:spacing w:val="-4"/>
          <w:sz w:val="21"/>
          <w:szCs w:val="21"/>
        </w:rPr>
        <w:t xml:space="preserve"> </w:t>
      </w: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2"/>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学年教师地市级以上技能比赛获奖</w:t>
      </w:r>
    </w:p>
    <w:p>
      <w:pPr>
        <w:spacing w:line="127" w:lineRule="exact"/>
      </w:pPr>
    </w:p>
    <w:tbl>
      <w:tblPr>
        <w:tblStyle w:val="30"/>
        <w:tblW w:w="8085" w:type="dxa"/>
        <w:tblInd w:w="124" w:type="dxa"/>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Layout w:type="fixed"/>
        <w:tblCellMar>
          <w:top w:w="0" w:type="dxa"/>
          <w:left w:w="0" w:type="dxa"/>
          <w:bottom w:w="0" w:type="dxa"/>
          <w:right w:w="0" w:type="dxa"/>
        </w:tblCellMar>
      </w:tblPr>
      <w:tblGrid>
        <w:gridCol w:w="715"/>
        <w:gridCol w:w="707"/>
        <w:gridCol w:w="2267"/>
        <w:gridCol w:w="1559"/>
        <w:gridCol w:w="707"/>
        <w:gridCol w:w="849"/>
        <w:gridCol w:w="1281"/>
      </w:tblGrid>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74" w:hRule="atLeast"/>
        </w:trPr>
        <w:tc>
          <w:tcPr>
            <w:tcW w:w="715" w:type="dxa"/>
            <w:tcBorders>
              <w:left w:val="single" w:color="FFFFFF" w:sz="2" w:space="0"/>
              <w:right w:val="single" w:color="FFFFFF" w:sz="2" w:space="0"/>
            </w:tcBorders>
            <w:shd w:val="clear" w:color="auto" w:fill="2E74B5"/>
            <w:vAlign w:val="top"/>
          </w:tcPr>
          <w:p>
            <w:pPr>
              <w:spacing w:before="147" w:line="221" w:lineRule="auto"/>
              <w:ind w:left="178"/>
              <w:rPr>
                <w:rFonts w:ascii="宋体" w:hAnsi="宋体" w:eastAsia="宋体" w:cs="宋体"/>
                <w:sz w:val="18"/>
                <w:szCs w:val="18"/>
              </w:rPr>
            </w:pP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序号</w:t>
            </w:r>
          </w:p>
        </w:tc>
        <w:tc>
          <w:tcPr>
            <w:tcW w:w="707" w:type="dxa"/>
            <w:tcBorders>
              <w:left w:val="single" w:color="FFFFFF" w:sz="2" w:space="0"/>
              <w:right w:val="single" w:color="FFFFFF" w:sz="2" w:space="0"/>
            </w:tcBorders>
            <w:shd w:val="clear" w:color="auto" w:fill="2E74B5"/>
            <w:vAlign w:val="top"/>
          </w:tcPr>
          <w:p>
            <w:pPr>
              <w:spacing w:before="29" w:line="239" w:lineRule="auto"/>
              <w:ind w:left="177"/>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获奖</w:t>
            </w:r>
          </w:p>
          <w:p>
            <w:pPr>
              <w:spacing w:line="216" w:lineRule="auto"/>
              <w:ind w:left="175"/>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类</w:t>
            </w: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别</w:t>
            </w:r>
          </w:p>
        </w:tc>
        <w:tc>
          <w:tcPr>
            <w:tcW w:w="2267" w:type="dxa"/>
            <w:tcBorders>
              <w:left w:val="single" w:color="FFFFFF" w:sz="2" w:space="0"/>
              <w:right w:val="single" w:color="FFFFFF" w:sz="2" w:space="0"/>
            </w:tcBorders>
            <w:shd w:val="clear" w:color="auto" w:fill="2E74B5"/>
            <w:vAlign w:val="top"/>
          </w:tcPr>
          <w:p>
            <w:pPr>
              <w:spacing w:before="147" w:line="220" w:lineRule="auto"/>
              <w:ind w:left="778"/>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获奖名称</w:t>
            </w:r>
          </w:p>
        </w:tc>
        <w:tc>
          <w:tcPr>
            <w:tcW w:w="1559" w:type="dxa"/>
            <w:tcBorders>
              <w:left w:val="single" w:color="FFFFFF" w:sz="2" w:space="0"/>
              <w:right w:val="single" w:color="FFFFFF" w:sz="2" w:space="0"/>
            </w:tcBorders>
            <w:shd w:val="clear" w:color="auto" w:fill="2E74B5"/>
            <w:vAlign w:val="top"/>
          </w:tcPr>
          <w:p>
            <w:pPr>
              <w:spacing w:before="147" w:line="220" w:lineRule="auto"/>
              <w:ind w:left="423"/>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组织单</w:t>
            </w:r>
            <w:r>
              <w:rPr>
                <w:rFonts w:ascii="宋体" w:hAnsi="宋体" w:eastAsia="宋体" w:cs="宋体"/>
                <w:color w:val="FFFFFF"/>
                <w:spacing w:val="-1"/>
                <w:sz w:val="18"/>
                <w:szCs w:val="18"/>
                <w14:textOutline w14:w="3263" w14:cap="flat" w14:cmpd="sng">
                  <w14:solidFill>
                    <w14:srgbClr w14:val="FFFFFF"/>
                  </w14:solidFill>
                  <w14:prstDash w14:val="solid"/>
                  <w14:miter w14:val="0"/>
                </w14:textOutline>
              </w:rPr>
              <w:t>位</w:t>
            </w:r>
          </w:p>
        </w:tc>
        <w:tc>
          <w:tcPr>
            <w:tcW w:w="707" w:type="dxa"/>
            <w:tcBorders>
              <w:left w:val="single" w:color="FFFFFF" w:sz="2" w:space="0"/>
              <w:right w:val="single" w:color="FFFFFF" w:sz="2" w:space="0"/>
            </w:tcBorders>
            <w:shd w:val="clear" w:color="auto" w:fill="2E74B5"/>
            <w:vAlign w:val="top"/>
          </w:tcPr>
          <w:p>
            <w:pPr>
              <w:spacing w:before="29" w:line="239" w:lineRule="auto"/>
              <w:ind w:left="178"/>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获奖</w:t>
            </w:r>
          </w:p>
          <w:p>
            <w:pPr>
              <w:spacing w:line="216" w:lineRule="auto"/>
              <w:ind w:left="178"/>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级别</w:t>
            </w:r>
          </w:p>
        </w:tc>
        <w:tc>
          <w:tcPr>
            <w:tcW w:w="849" w:type="dxa"/>
            <w:tcBorders>
              <w:left w:val="single" w:color="FFFFFF" w:sz="2" w:space="0"/>
              <w:right w:val="single" w:color="FFFFFF" w:sz="2" w:space="0"/>
            </w:tcBorders>
            <w:shd w:val="clear" w:color="auto" w:fill="2E74B5"/>
            <w:vAlign w:val="top"/>
          </w:tcPr>
          <w:p>
            <w:pPr>
              <w:spacing w:before="147" w:line="220" w:lineRule="auto"/>
              <w:ind w:left="250"/>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奖项</w:t>
            </w:r>
          </w:p>
        </w:tc>
        <w:tc>
          <w:tcPr>
            <w:tcW w:w="1281" w:type="dxa"/>
            <w:tcBorders>
              <w:left w:val="single" w:color="FFFFFF" w:sz="2" w:space="0"/>
              <w:right w:val="single" w:color="FFFFFF" w:sz="2" w:space="0"/>
            </w:tcBorders>
            <w:shd w:val="clear" w:color="auto" w:fill="2E74B5"/>
            <w:vAlign w:val="top"/>
          </w:tcPr>
          <w:p>
            <w:pPr>
              <w:spacing w:before="29" w:line="239" w:lineRule="auto"/>
              <w:ind w:left="285"/>
              <w:rPr>
                <w:rFonts w:ascii="宋体" w:hAnsi="宋体" w:eastAsia="宋体" w:cs="宋体"/>
                <w:sz w:val="18"/>
                <w:szCs w:val="18"/>
              </w:rPr>
            </w:pPr>
            <w:r>
              <w:rPr>
                <w:rFonts w:ascii="宋体" w:hAnsi="宋体" w:eastAsia="宋体" w:cs="宋体"/>
                <w:color w:val="FFFFFF"/>
                <w:spacing w:val="-2"/>
                <w:sz w:val="18"/>
                <w:szCs w:val="18"/>
                <w14:textOutline w14:w="3263" w14:cap="flat" w14:cmpd="sng">
                  <w14:solidFill>
                    <w14:srgbClr w14:val="FFFFFF"/>
                  </w14:solidFill>
                  <w14:prstDash w14:val="solid"/>
                  <w14:miter w14:val="0"/>
                </w14:textOutline>
              </w:rPr>
              <w:t>获奖单位</w:t>
            </w:r>
          </w:p>
          <w:p>
            <w:pPr>
              <w:spacing w:line="216" w:lineRule="auto"/>
              <w:ind w:left="287"/>
              <w:rPr>
                <w:rFonts w:ascii="宋体" w:hAnsi="宋体" w:eastAsia="宋体" w:cs="宋体"/>
                <w:sz w:val="18"/>
                <w:szCs w:val="18"/>
              </w:rPr>
            </w:pPr>
            <w:r>
              <w:rPr>
                <w:rFonts w:ascii="宋体" w:hAnsi="宋体" w:eastAsia="宋体" w:cs="宋体"/>
                <w:color w:val="FFFFFF"/>
                <w:spacing w:val="17"/>
                <w:sz w:val="18"/>
                <w:szCs w:val="18"/>
                <w14:textOutline w14:w="3263" w14:cap="flat" w14:cmpd="sng">
                  <w14:solidFill>
                    <w14:srgbClr w14:val="FFFFFF"/>
                  </w14:solidFill>
                  <w14:prstDash w14:val="solid"/>
                  <w14:miter w14:val="0"/>
                </w14:textOutline>
              </w:rPr>
              <w:t>(个人)</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614" w:hRule="atLeast"/>
        </w:trPr>
        <w:tc>
          <w:tcPr>
            <w:tcW w:w="715" w:type="dxa"/>
            <w:shd w:val="clear" w:color="auto" w:fill="BDD6EE"/>
            <w:vAlign w:val="top"/>
          </w:tcPr>
          <w:p>
            <w:pPr>
              <w:spacing w:before="245" w:line="185" w:lineRule="auto"/>
              <w:ind w:left="327"/>
              <w:rPr>
                <w:rFonts w:ascii="宋体" w:hAnsi="宋体" w:eastAsia="宋体" w:cs="宋体"/>
                <w:sz w:val="18"/>
                <w:szCs w:val="18"/>
              </w:rPr>
            </w:pPr>
            <w:r>
              <w:rPr>
                <w:rFonts w:ascii="宋体" w:hAnsi="宋体" w:eastAsia="宋体" w:cs="宋体"/>
                <w:sz w:val="18"/>
                <w:szCs w:val="18"/>
              </w:rPr>
              <w:t>1</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w:t>
            </w:r>
            <w:r>
              <w:rPr>
                <w:rFonts w:hint="eastAsia" w:ascii="宋体" w:hAnsi="宋体" w:eastAsia="宋体" w:cs="宋体"/>
                <w:spacing w:val="-3"/>
                <w:sz w:val="18"/>
                <w:szCs w:val="18"/>
                <w:lang w:val="en-US" w:eastAsia="zh-CN"/>
              </w:rPr>
              <w:t>全国</w:t>
            </w:r>
            <w:r>
              <w:rPr>
                <w:rFonts w:ascii="宋体" w:hAnsi="宋体" w:eastAsia="宋体" w:cs="宋体"/>
                <w:spacing w:val="-3"/>
                <w:sz w:val="18"/>
                <w:szCs w:val="18"/>
              </w:rPr>
              <w:t>职业院校技</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jc w:val="center"/>
              <w:rPr>
                <w:rFonts w:hint="eastAsia" w:ascii="宋体" w:hAnsi="宋体" w:eastAsia="宋体" w:cs="宋体"/>
                <w:sz w:val="18"/>
                <w:szCs w:val="18"/>
                <w:lang w:eastAsia="zh-CN"/>
              </w:rPr>
            </w:pPr>
            <w:r>
              <w:rPr>
                <w:rFonts w:hint="eastAsia" w:ascii="宋体" w:hAnsi="宋体" w:eastAsia="宋体" w:cs="宋体"/>
                <w:spacing w:val="-2"/>
                <w:sz w:val="18"/>
                <w:szCs w:val="18"/>
                <w:lang w:val="en-US" w:eastAsia="zh-CN"/>
              </w:rPr>
              <w:t>教育部</w:t>
            </w:r>
          </w:p>
        </w:tc>
        <w:tc>
          <w:tcPr>
            <w:tcW w:w="707" w:type="dxa"/>
            <w:vAlign w:val="top"/>
          </w:tcPr>
          <w:p>
            <w:pPr>
              <w:spacing w:before="258" w:line="220" w:lineRule="auto"/>
              <w:ind w:left="178" w:leftChars="0"/>
              <w:rPr>
                <w:rFonts w:hint="eastAsia" w:ascii="宋体" w:hAnsi="宋体" w:eastAsia="宋体" w:cs="宋体"/>
                <w:sz w:val="18"/>
                <w:szCs w:val="18"/>
                <w:lang w:eastAsia="zh-CN"/>
              </w:rPr>
            </w:pPr>
            <w:r>
              <w:rPr>
                <w:rFonts w:hint="eastAsia" w:ascii="宋体" w:hAnsi="宋体" w:eastAsia="宋体" w:cs="宋体"/>
                <w:spacing w:val="-3"/>
                <w:sz w:val="18"/>
                <w:szCs w:val="18"/>
                <w:lang w:val="en-US" w:eastAsia="zh-CN"/>
              </w:rPr>
              <w:t>国家级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三</w:t>
            </w:r>
            <w:r>
              <w:rPr>
                <w:rFonts w:ascii="宋体" w:hAnsi="宋体" w:eastAsia="宋体" w:cs="宋体"/>
                <w:spacing w:val="-2"/>
                <w:sz w:val="18"/>
                <w:szCs w:val="18"/>
              </w:rPr>
              <w:t>等奖</w:t>
            </w:r>
          </w:p>
        </w:tc>
        <w:tc>
          <w:tcPr>
            <w:tcW w:w="1281" w:type="dxa"/>
            <w:vAlign w:val="top"/>
          </w:tcPr>
          <w:p>
            <w:pPr>
              <w:spacing w:before="215" w:line="219" w:lineRule="auto"/>
              <w:jc w:val="left"/>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周志英 甘露     刘苏敏  韩月</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72" w:hRule="atLeast"/>
        </w:trPr>
        <w:tc>
          <w:tcPr>
            <w:tcW w:w="715" w:type="dxa"/>
            <w:shd w:val="clear" w:color="auto" w:fill="BDD6EE"/>
            <w:vAlign w:val="top"/>
          </w:tcPr>
          <w:p>
            <w:pPr>
              <w:spacing w:before="174" w:line="184" w:lineRule="auto"/>
              <w:ind w:left="316"/>
              <w:rPr>
                <w:rFonts w:ascii="宋体" w:hAnsi="宋体" w:eastAsia="宋体" w:cs="宋体"/>
                <w:sz w:val="18"/>
                <w:szCs w:val="18"/>
              </w:rPr>
            </w:pPr>
            <w:r>
              <w:rPr>
                <w:rFonts w:ascii="宋体" w:hAnsi="宋体" w:eastAsia="宋体" w:cs="宋体"/>
                <w:sz w:val="18"/>
                <w:szCs w:val="18"/>
              </w:rPr>
              <w:t>2</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ascii="宋体" w:hAnsi="宋体" w:eastAsia="宋体" w:cs="宋体"/>
                <w:spacing w:val="-3"/>
                <w:sz w:val="18"/>
                <w:szCs w:val="18"/>
              </w:rPr>
              <w:t>一</w:t>
            </w:r>
            <w:r>
              <w:rPr>
                <w:rFonts w:ascii="宋体" w:hAnsi="宋体" w:eastAsia="宋体" w:cs="宋体"/>
                <w:spacing w:val="-2"/>
                <w:sz w:val="18"/>
                <w:szCs w:val="18"/>
              </w:rPr>
              <w:t>等奖</w:t>
            </w:r>
          </w:p>
        </w:tc>
        <w:tc>
          <w:tcPr>
            <w:tcW w:w="1281" w:type="dxa"/>
            <w:vAlign w:val="top"/>
          </w:tcPr>
          <w:p>
            <w:pPr>
              <w:spacing w:before="215" w:line="219" w:lineRule="auto"/>
              <w:jc w:val="both"/>
              <w:rPr>
                <w:rFonts w:ascii="宋体" w:hAnsi="宋体" w:eastAsia="宋体" w:cs="宋体"/>
                <w:sz w:val="18"/>
                <w:szCs w:val="18"/>
              </w:rPr>
            </w:pPr>
            <w:r>
              <w:rPr>
                <w:rFonts w:hint="eastAsia" w:ascii="宋体" w:hAnsi="宋体" w:eastAsia="宋体" w:cs="宋体"/>
                <w:spacing w:val="-6"/>
                <w:sz w:val="18"/>
                <w:szCs w:val="18"/>
                <w:lang w:val="en-US" w:eastAsia="zh-CN"/>
              </w:rPr>
              <w:t>周志英 孙细华     邱爱萍  林丹</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705" w:hRule="atLeast"/>
        </w:trPr>
        <w:tc>
          <w:tcPr>
            <w:tcW w:w="715" w:type="dxa"/>
            <w:shd w:val="clear" w:color="auto" w:fill="BDD6EE"/>
            <w:vAlign w:val="top"/>
          </w:tcPr>
          <w:p>
            <w:pPr>
              <w:spacing w:before="289" w:line="183" w:lineRule="auto"/>
              <w:ind w:left="317"/>
              <w:rPr>
                <w:rFonts w:ascii="宋体" w:hAnsi="宋体" w:eastAsia="宋体" w:cs="宋体"/>
                <w:sz w:val="18"/>
                <w:szCs w:val="18"/>
              </w:rPr>
            </w:pPr>
            <w:r>
              <w:rPr>
                <w:rFonts w:ascii="宋体" w:hAnsi="宋体" w:eastAsia="宋体" w:cs="宋体"/>
                <w:sz w:val="18"/>
                <w:szCs w:val="18"/>
              </w:rPr>
              <w:t>3</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二</w:t>
            </w:r>
            <w:r>
              <w:rPr>
                <w:rFonts w:ascii="宋体" w:hAnsi="宋体" w:eastAsia="宋体" w:cs="宋体"/>
                <w:spacing w:val="-2"/>
                <w:sz w:val="18"/>
                <w:szCs w:val="18"/>
              </w:rPr>
              <w:t>等奖</w:t>
            </w:r>
          </w:p>
        </w:tc>
        <w:tc>
          <w:tcPr>
            <w:tcW w:w="1281" w:type="dxa"/>
            <w:vAlign w:val="top"/>
          </w:tcPr>
          <w:p>
            <w:pPr>
              <w:spacing w:before="215" w:line="219" w:lineRule="auto"/>
              <w:jc w:val="left"/>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 xml:space="preserve">韩月   宋颖方    张雪   陈梦薇  </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470" w:hRule="atLeast"/>
        </w:trPr>
        <w:tc>
          <w:tcPr>
            <w:tcW w:w="715" w:type="dxa"/>
            <w:shd w:val="clear" w:color="auto" w:fill="BDD6EE"/>
            <w:vAlign w:val="top"/>
          </w:tcPr>
          <w:p>
            <w:pPr>
              <w:spacing w:before="172" w:line="184" w:lineRule="auto"/>
              <w:ind w:left="313"/>
              <w:rPr>
                <w:rFonts w:ascii="宋体" w:hAnsi="宋体" w:eastAsia="宋体" w:cs="宋体"/>
                <w:sz w:val="18"/>
                <w:szCs w:val="18"/>
              </w:rPr>
            </w:pPr>
            <w:r>
              <w:rPr>
                <w:rFonts w:ascii="宋体" w:hAnsi="宋体" w:eastAsia="宋体" w:cs="宋体"/>
                <w:sz w:val="18"/>
                <w:szCs w:val="18"/>
              </w:rPr>
              <w:t>4</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三</w:t>
            </w:r>
            <w:r>
              <w:rPr>
                <w:rFonts w:ascii="宋体" w:hAnsi="宋体" w:eastAsia="宋体" w:cs="宋体"/>
                <w:spacing w:val="-2"/>
                <w:sz w:val="18"/>
                <w:szCs w:val="18"/>
              </w:rPr>
              <w:t>等奖</w:t>
            </w:r>
          </w:p>
        </w:tc>
        <w:tc>
          <w:tcPr>
            <w:tcW w:w="1281" w:type="dxa"/>
            <w:vAlign w:val="top"/>
          </w:tcPr>
          <w:p>
            <w:pPr>
              <w:spacing w:before="215" w:line="219" w:lineRule="auto"/>
              <w:jc w:val="left"/>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罗玲  潘怡     肖欣钰  刘洋</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705" w:hRule="atLeast"/>
        </w:trPr>
        <w:tc>
          <w:tcPr>
            <w:tcW w:w="715" w:type="dxa"/>
            <w:shd w:val="clear" w:color="auto" w:fill="BDD6EE"/>
            <w:vAlign w:val="top"/>
          </w:tcPr>
          <w:p>
            <w:pPr>
              <w:spacing w:before="294" w:line="181" w:lineRule="auto"/>
              <w:ind w:left="317"/>
              <w:rPr>
                <w:rFonts w:ascii="宋体" w:hAnsi="宋体" w:eastAsia="宋体" w:cs="宋体"/>
                <w:sz w:val="18"/>
                <w:szCs w:val="18"/>
              </w:rPr>
            </w:pPr>
            <w:r>
              <w:rPr>
                <w:rFonts w:ascii="宋体" w:hAnsi="宋体" w:eastAsia="宋体" w:cs="宋体"/>
                <w:sz w:val="18"/>
                <w:szCs w:val="18"/>
              </w:rPr>
              <w:t>5</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三</w:t>
            </w:r>
            <w:r>
              <w:rPr>
                <w:rFonts w:ascii="宋体" w:hAnsi="宋体" w:eastAsia="宋体" w:cs="宋体"/>
                <w:spacing w:val="-2"/>
                <w:sz w:val="18"/>
                <w:szCs w:val="18"/>
              </w:rPr>
              <w:t>等奖</w:t>
            </w:r>
          </w:p>
        </w:tc>
        <w:tc>
          <w:tcPr>
            <w:tcW w:w="1281" w:type="dxa"/>
            <w:vAlign w:val="top"/>
          </w:tcPr>
          <w:p>
            <w:pPr>
              <w:spacing w:before="215" w:line="219" w:lineRule="auto"/>
              <w:jc w:val="left"/>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陈翀  高薇    王鲁萍</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705" w:hRule="atLeast"/>
        </w:trPr>
        <w:tc>
          <w:tcPr>
            <w:tcW w:w="715" w:type="dxa"/>
            <w:shd w:val="clear" w:color="auto" w:fill="BDD6EE"/>
            <w:vAlign w:val="top"/>
          </w:tcPr>
          <w:p>
            <w:pPr>
              <w:spacing w:before="293" w:line="183" w:lineRule="auto"/>
              <w:ind w:left="315"/>
              <w:rPr>
                <w:rFonts w:ascii="宋体" w:hAnsi="宋体" w:eastAsia="宋体" w:cs="宋体"/>
                <w:sz w:val="18"/>
                <w:szCs w:val="18"/>
              </w:rPr>
            </w:pPr>
            <w:r>
              <w:rPr>
                <w:rFonts w:ascii="宋体" w:hAnsi="宋体" w:eastAsia="宋体" w:cs="宋体"/>
                <w:sz w:val="18"/>
                <w:szCs w:val="18"/>
              </w:rPr>
              <w:t>6</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三</w:t>
            </w:r>
            <w:r>
              <w:rPr>
                <w:rFonts w:ascii="宋体" w:hAnsi="宋体" w:eastAsia="宋体" w:cs="宋体"/>
                <w:spacing w:val="-2"/>
                <w:sz w:val="18"/>
                <w:szCs w:val="18"/>
              </w:rPr>
              <w:t>等奖</w:t>
            </w:r>
          </w:p>
        </w:tc>
        <w:tc>
          <w:tcPr>
            <w:tcW w:w="1281" w:type="dxa"/>
            <w:vAlign w:val="top"/>
          </w:tcPr>
          <w:p>
            <w:pPr>
              <w:spacing w:before="215" w:line="219" w:lineRule="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刘恒荣 潘原英  雷青青 卢芳梅</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721" w:hRule="atLeast"/>
        </w:trPr>
        <w:tc>
          <w:tcPr>
            <w:tcW w:w="715" w:type="dxa"/>
            <w:shd w:val="clear" w:color="auto" w:fill="BDD6EE"/>
            <w:vAlign w:val="top"/>
          </w:tcPr>
          <w:p>
            <w:pPr>
              <w:spacing w:line="242" w:lineRule="auto"/>
              <w:rPr>
                <w:rFonts w:ascii="Arial"/>
                <w:sz w:val="21"/>
              </w:rPr>
            </w:pPr>
          </w:p>
          <w:p>
            <w:pPr>
              <w:spacing w:before="59" w:line="181" w:lineRule="auto"/>
              <w:ind w:left="318"/>
              <w:rPr>
                <w:rFonts w:ascii="宋体" w:hAnsi="宋体" w:eastAsia="宋体" w:cs="宋体"/>
                <w:sz w:val="18"/>
                <w:szCs w:val="18"/>
              </w:rPr>
            </w:pPr>
            <w:r>
              <w:rPr>
                <w:rFonts w:ascii="宋体" w:hAnsi="宋体" w:eastAsia="宋体" w:cs="宋体"/>
                <w:sz w:val="18"/>
                <w:szCs w:val="18"/>
              </w:rPr>
              <w:t>7</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ascii="宋体" w:hAnsi="宋体" w:eastAsia="宋体" w:cs="宋体"/>
                <w:sz w:val="18"/>
                <w:szCs w:val="18"/>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年江西省职业院校技</w:t>
            </w:r>
            <w:r>
              <w:rPr>
                <w:rFonts w:ascii="宋体" w:hAnsi="宋体" w:eastAsia="宋体" w:cs="宋体"/>
                <w:sz w:val="18"/>
                <w:szCs w:val="18"/>
              </w:rPr>
              <w:t xml:space="preserve"> </w:t>
            </w:r>
            <w:r>
              <w:rPr>
                <w:rFonts w:ascii="宋体" w:hAnsi="宋体" w:eastAsia="宋体" w:cs="宋体"/>
                <w:spacing w:val="-2"/>
                <w:sz w:val="18"/>
                <w:szCs w:val="18"/>
              </w:rPr>
              <w:t>能大赛教</w:t>
            </w:r>
            <w:r>
              <w:rPr>
                <w:rFonts w:ascii="宋体" w:hAnsi="宋体" w:eastAsia="宋体" w:cs="宋体"/>
                <w:spacing w:val="-1"/>
                <w:sz w:val="18"/>
                <w:szCs w:val="18"/>
              </w:rPr>
              <w:t>学能力比赛</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三</w:t>
            </w:r>
            <w:r>
              <w:rPr>
                <w:rFonts w:ascii="宋体" w:hAnsi="宋体" w:eastAsia="宋体" w:cs="宋体"/>
                <w:spacing w:val="-2"/>
                <w:sz w:val="18"/>
                <w:szCs w:val="18"/>
              </w:rPr>
              <w:t>等奖</w:t>
            </w:r>
          </w:p>
        </w:tc>
        <w:tc>
          <w:tcPr>
            <w:tcW w:w="1281" w:type="dxa"/>
            <w:vAlign w:val="top"/>
          </w:tcPr>
          <w:p>
            <w:pPr>
              <w:spacing w:before="215" w:line="219" w:lineRule="auto"/>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刘爱玲 洪军明 汪林</w:t>
            </w:r>
          </w:p>
        </w:tc>
      </w:tr>
      <w:tr>
        <w:tblPrEx>
          <w:tblBorders>
            <w:top w:val="single" w:color="4472C4" w:sz="2" w:space="0"/>
            <w:left w:val="single" w:color="4472C4" w:sz="2" w:space="0"/>
            <w:bottom w:val="single" w:color="4472C4" w:sz="2" w:space="0"/>
            <w:right w:val="single" w:color="4472C4" w:sz="2" w:space="0"/>
            <w:insideH w:val="single" w:color="4472C4" w:sz="2" w:space="0"/>
            <w:insideV w:val="single" w:color="4472C4" w:sz="2" w:space="0"/>
          </w:tblBorders>
          <w:tblCellMar>
            <w:top w:w="0" w:type="dxa"/>
            <w:left w:w="0" w:type="dxa"/>
            <w:bottom w:w="0" w:type="dxa"/>
            <w:right w:w="0" w:type="dxa"/>
          </w:tblCellMar>
        </w:tblPrEx>
        <w:trPr>
          <w:trHeight w:val="789" w:hRule="atLeast"/>
        </w:trPr>
        <w:tc>
          <w:tcPr>
            <w:tcW w:w="715" w:type="dxa"/>
            <w:shd w:val="clear" w:color="auto" w:fill="BDD6EE"/>
            <w:vAlign w:val="top"/>
          </w:tcPr>
          <w:p>
            <w:pPr>
              <w:spacing w:line="275" w:lineRule="auto"/>
              <w:rPr>
                <w:rFonts w:ascii="Arial"/>
                <w:sz w:val="21"/>
              </w:rPr>
            </w:pPr>
          </w:p>
          <w:p>
            <w:pPr>
              <w:spacing w:before="58" w:line="183" w:lineRule="auto"/>
              <w:ind w:left="314"/>
              <w:rPr>
                <w:rFonts w:ascii="宋体" w:hAnsi="宋体" w:eastAsia="宋体" w:cs="宋体"/>
                <w:sz w:val="18"/>
                <w:szCs w:val="18"/>
              </w:rPr>
            </w:pPr>
            <w:r>
              <w:rPr>
                <w:rFonts w:ascii="宋体" w:hAnsi="宋体" w:eastAsia="宋体" w:cs="宋体"/>
                <w:sz w:val="18"/>
                <w:szCs w:val="18"/>
              </w:rPr>
              <w:t>8</w:t>
            </w:r>
          </w:p>
        </w:tc>
        <w:tc>
          <w:tcPr>
            <w:tcW w:w="707" w:type="dxa"/>
            <w:vAlign w:val="top"/>
          </w:tcPr>
          <w:p>
            <w:pPr>
              <w:spacing w:before="97" w:line="239" w:lineRule="auto"/>
              <w:ind w:left="177"/>
              <w:rPr>
                <w:rFonts w:ascii="宋体" w:hAnsi="宋体" w:eastAsia="宋体" w:cs="宋体"/>
                <w:sz w:val="18"/>
                <w:szCs w:val="18"/>
              </w:rPr>
            </w:pPr>
            <w:r>
              <w:rPr>
                <w:rFonts w:ascii="宋体" w:hAnsi="宋体" w:eastAsia="宋体" w:cs="宋体"/>
                <w:spacing w:val="-3"/>
                <w:sz w:val="18"/>
                <w:szCs w:val="18"/>
              </w:rPr>
              <w:t>教</w:t>
            </w:r>
            <w:r>
              <w:rPr>
                <w:rFonts w:ascii="宋体" w:hAnsi="宋体" w:eastAsia="宋体" w:cs="宋体"/>
                <w:spacing w:val="-2"/>
                <w:sz w:val="18"/>
                <w:szCs w:val="18"/>
              </w:rPr>
              <w:t>师</w:t>
            </w:r>
          </w:p>
          <w:p>
            <w:pPr>
              <w:spacing w:line="219" w:lineRule="auto"/>
              <w:ind w:left="177" w:leftChars="0"/>
              <w:rPr>
                <w:rFonts w:ascii="宋体" w:hAnsi="宋体" w:eastAsia="宋体" w:cs="宋体"/>
                <w:sz w:val="18"/>
                <w:szCs w:val="18"/>
              </w:rPr>
            </w:pPr>
            <w:r>
              <w:rPr>
                <w:rFonts w:ascii="宋体" w:hAnsi="宋体" w:eastAsia="宋体" w:cs="宋体"/>
                <w:spacing w:val="-3"/>
                <w:sz w:val="18"/>
                <w:szCs w:val="18"/>
              </w:rPr>
              <w:t>获</w:t>
            </w:r>
            <w:r>
              <w:rPr>
                <w:rFonts w:ascii="宋体" w:hAnsi="宋体" w:eastAsia="宋体" w:cs="宋体"/>
                <w:spacing w:val="-2"/>
                <w:sz w:val="18"/>
                <w:szCs w:val="18"/>
              </w:rPr>
              <w:t>奖</w:t>
            </w:r>
          </w:p>
        </w:tc>
        <w:tc>
          <w:tcPr>
            <w:tcW w:w="2267" w:type="dxa"/>
            <w:vAlign w:val="top"/>
          </w:tcPr>
          <w:p>
            <w:pPr>
              <w:spacing w:before="140" w:line="256" w:lineRule="auto"/>
              <w:ind w:left="333" w:leftChars="0" w:right="117" w:rightChars="0" w:hanging="208" w:firstLineChars="0"/>
              <w:rPr>
                <w:rFonts w:hint="default" w:ascii="宋体" w:hAnsi="宋体" w:eastAsia="宋体" w:cs="宋体"/>
                <w:sz w:val="18"/>
                <w:szCs w:val="18"/>
                <w:lang w:val="en-US" w:eastAsia="zh-CN"/>
              </w:rPr>
            </w:pPr>
            <w:r>
              <w:rPr>
                <w:rFonts w:ascii="宋体" w:hAnsi="宋体" w:eastAsia="宋体" w:cs="宋体"/>
                <w:spacing w:val="-6"/>
                <w:sz w:val="18"/>
                <w:szCs w:val="18"/>
              </w:rPr>
              <w:t>202</w:t>
            </w:r>
            <w:r>
              <w:rPr>
                <w:rFonts w:hint="eastAsia" w:ascii="宋体" w:hAnsi="宋体" w:eastAsia="宋体" w:cs="宋体"/>
                <w:spacing w:val="-4"/>
                <w:sz w:val="18"/>
                <w:szCs w:val="18"/>
                <w:lang w:val="en-US" w:eastAsia="zh-CN"/>
              </w:rPr>
              <w:t>2</w:t>
            </w:r>
            <w:r>
              <w:rPr>
                <w:rFonts w:ascii="宋体" w:hAnsi="宋体" w:eastAsia="宋体" w:cs="宋体"/>
                <w:spacing w:val="-3"/>
                <w:sz w:val="18"/>
                <w:szCs w:val="18"/>
              </w:rPr>
              <w:t>年江西省</w:t>
            </w:r>
            <w:r>
              <w:rPr>
                <w:rFonts w:hint="eastAsia" w:ascii="宋体" w:hAnsi="宋体" w:eastAsia="宋体" w:cs="宋体"/>
                <w:spacing w:val="-3"/>
                <w:sz w:val="18"/>
                <w:szCs w:val="18"/>
                <w:lang w:val="en-US" w:eastAsia="zh-CN"/>
              </w:rPr>
              <w:t>课程思政示范项目</w:t>
            </w:r>
          </w:p>
        </w:tc>
        <w:tc>
          <w:tcPr>
            <w:tcW w:w="1559" w:type="dxa"/>
            <w:vAlign w:val="top"/>
          </w:tcPr>
          <w:p>
            <w:pPr>
              <w:spacing w:before="258" w:line="220" w:lineRule="auto"/>
              <w:ind w:left="245" w:leftChars="0"/>
              <w:rPr>
                <w:rFonts w:ascii="宋体" w:hAnsi="宋体" w:eastAsia="宋体" w:cs="宋体"/>
                <w:sz w:val="18"/>
                <w:szCs w:val="18"/>
              </w:rPr>
            </w:pPr>
            <w:r>
              <w:rPr>
                <w:rFonts w:ascii="宋体" w:hAnsi="宋体" w:eastAsia="宋体" w:cs="宋体"/>
                <w:spacing w:val="-2"/>
                <w:sz w:val="18"/>
                <w:szCs w:val="18"/>
              </w:rPr>
              <w:t>江</w:t>
            </w:r>
            <w:r>
              <w:rPr>
                <w:rFonts w:ascii="宋体" w:hAnsi="宋体" w:eastAsia="宋体" w:cs="宋体"/>
                <w:spacing w:val="-1"/>
                <w:sz w:val="18"/>
                <w:szCs w:val="18"/>
              </w:rPr>
              <w:t>西省教育厅</w:t>
            </w:r>
          </w:p>
        </w:tc>
        <w:tc>
          <w:tcPr>
            <w:tcW w:w="707" w:type="dxa"/>
            <w:vAlign w:val="top"/>
          </w:tcPr>
          <w:p>
            <w:pPr>
              <w:spacing w:before="258" w:line="220" w:lineRule="auto"/>
              <w:ind w:left="178" w:leftChars="0"/>
              <w:rPr>
                <w:rFonts w:ascii="宋体" w:hAnsi="宋体" w:eastAsia="宋体" w:cs="宋体"/>
                <w:sz w:val="18"/>
                <w:szCs w:val="18"/>
              </w:rPr>
            </w:pPr>
            <w:r>
              <w:rPr>
                <w:rFonts w:ascii="宋体" w:hAnsi="宋体" w:eastAsia="宋体" w:cs="宋体"/>
                <w:spacing w:val="-3"/>
                <w:sz w:val="18"/>
                <w:szCs w:val="18"/>
              </w:rPr>
              <w:t>省</w:t>
            </w:r>
            <w:r>
              <w:rPr>
                <w:rFonts w:ascii="宋体" w:hAnsi="宋体" w:eastAsia="宋体" w:cs="宋体"/>
                <w:spacing w:val="-2"/>
                <w:sz w:val="18"/>
                <w:szCs w:val="18"/>
              </w:rPr>
              <w:t>级</w:t>
            </w:r>
          </w:p>
        </w:tc>
        <w:tc>
          <w:tcPr>
            <w:tcW w:w="849" w:type="dxa"/>
            <w:vAlign w:val="top"/>
          </w:tcPr>
          <w:p>
            <w:pPr>
              <w:spacing w:before="258" w:line="220" w:lineRule="auto"/>
              <w:ind w:left="162" w:leftChars="0"/>
              <w:rPr>
                <w:rFonts w:ascii="宋体" w:hAnsi="宋体" w:eastAsia="宋体" w:cs="宋体"/>
                <w:sz w:val="18"/>
                <w:szCs w:val="18"/>
              </w:rPr>
            </w:pPr>
            <w:r>
              <w:rPr>
                <w:rFonts w:hint="eastAsia" w:ascii="宋体" w:hAnsi="宋体" w:eastAsia="宋体" w:cs="宋体"/>
                <w:spacing w:val="-3"/>
                <w:sz w:val="18"/>
                <w:szCs w:val="18"/>
                <w:lang w:val="en-US" w:eastAsia="zh-CN"/>
              </w:rPr>
              <w:t>立项</w:t>
            </w:r>
          </w:p>
        </w:tc>
        <w:tc>
          <w:tcPr>
            <w:tcW w:w="1281" w:type="dxa"/>
            <w:vAlign w:val="top"/>
          </w:tcPr>
          <w:p>
            <w:pPr>
              <w:spacing w:before="215" w:line="219" w:lineRule="auto"/>
              <w:jc w:val="left"/>
              <w:rPr>
                <w:rFonts w:hint="default" w:ascii="宋体" w:hAnsi="宋体" w:eastAsia="宋体" w:cs="宋体"/>
                <w:sz w:val="18"/>
                <w:szCs w:val="18"/>
                <w:lang w:val="en-US" w:eastAsia="zh-CN"/>
              </w:rPr>
            </w:pPr>
            <w:r>
              <w:rPr>
                <w:rFonts w:hint="eastAsia" w:ascii="宋体" w:hAnsi="宋体" w:eastAsia="宋体" w:cs="宋体"/>
                <w:spacing w:val="-6"/>
                <w:sz w:val="18"/>
                <w:szCs w:val="18"/>
                <w:lang w:val="en-US" w:eastAsia="zh-CN"/>
              </w:rPr>
              <w:t>甘露 刘恒荣 卢芳梅 陈翀  高薇 林丹  王鲁萍</w:t>
            </w:r>
          </w:p>
        </w:tc>
      </w:tr>
    </w:tbl>
    <w:p/>
    <w:p>
      <w:pPr>
        <w:pStyle w:val="5"/>
        <w:bidi w:val="0"/>
        <w:rPr>
          <w:rFonts w:hint="eastAsia" w:ascii="仿宋_GB2312" w:hAnsi="仿宋_GB2312" w:eastAsia="仿宋_GB2312" w:cs="仿宋_GB2312"/>
          <w:b/>
          <w:bCs/>
          <w:color w:val="0C0C0C"/>
          <w:kern w:val="0"/>
          <w:sz w:val="32"/>
          <w:szCs w:val="32"/>
          <w:lang w:val="en-US" w:eastAsia="zh-CN" w:bidi="ar-SA"/>
        </w:rPr>
      </w:pPr>
      <w:bookmarkStart w:id="57" w:name="_Toc7067"/>
      <w:r>
        <w:rPr>
          <w:rFonts w:hint="eastAsia" w:ascii="仿宋_GB2312" w:hAnsi="仿宋_GB2312" w:eastAsia="仿宋_GB2312" w:cs="仿宋_GB2312"/>
          <w:b/>
          <w:bCs/>
          <w:color w:val="0C0C0C"/>
          <w:kern w:val="0"/>
          <w:sz w:val="32"/>
          <w:szCs w:val="32"/>
          <w:lang w:val="en-US" w:eastAsia="zh-CN" w:bidi="ar-SA"/>
        </w:rPr>
        <w:t>3.6.4 教师培训情况</w:t>
      </w:r>
      <w:bookmarkEnd w:id="57"/>
    </w:p>
    <w:p>
      <w:pPr>
        <w:spacing w:before="144" w:line="319" w:lineRule="auto"/>
        <w:ind w:firstLine="572"/>
        <w:rPr>
          <w:rFonts w:hint="eastAsia" w:ascii="仿宋_GB2312" w:hAnsi="宋体" w:eastAsia="仿宋_GB2312" w:cs="宋体"/>
          <w:color w:val="000000"/>
          <w:kern w:val="0"/>
          <w:sz w:val="32"/>
          <w:szCs w:val="32"/>
          <w:highlight w:val="none"/>
          <w:lang w:val="en-US" w:eastAsia="zh-CN" w:bidi="ar-SA"/>
        </w:rPr>
      </w:pPr>
      <w:r>
        <w:rPr>
          <w:rFonts w:hint="eastAsia" w:ascii="仿宋_GB2312" w:hAnsi="宋体" w:eastAsia="仿宋_GB2312" w:cs="宋体"/>
          <w:color w:val="000000"/>
          <w:kern w:val="0"/>
          <w:sz w:val="32"/>
          <w:szCs w:val="32"/>
          <w:highlight w:val="none"/>
          <w:lang w:val="en-US" w:eastAsia="zh-CN" w:bidi="ar-SA"/>
        </w:rPr>
        <w:t>组织教师参加各级各类培训共计二十余次，参训教师累计 372 人次，全学年培训总次数较去年同期增加 12 次，增长 57.1%，培训总人次增长约 65%，专任教师参与度100%。</w:t>
      </w:r>
    </w:p>
    <w:p>
      <w:pPr>
        <w:spacing w:before="144" w:line="319" w:lineRule="auto"/>
        <w:ind w:firstLine="572"/>
        <w:rPr>
          <w:rFonts w:hint="eastAsia" w:ascii="仿宋_GB2312" w:hAnsi="宋体" w:eastAsia="仿宋_GB2312" w:cs="宋体"/>
          <w:color w:val="000000"/>
          <w:kern w:val="0"/>
          <w:sz w:val="32"/>
          <w:szCs w:val="32"/>
          <w:highlight w:val="none"/>
          <w:lang w:val="en-US" w:eastAsia="zh-CN" w:bidi="ar-SA"/>
        </w:rPr>
      </w:pPr>
      <w:r>
        <w:rPr>
          <w:rFonts w:hint="eastAsia" w:ascii="仿宋_GB2312" w:hAnsi="宋体" w:eastAsia="仿宋_GB2312" w:cs="宋体"/>
          <w:color w:val="000000"/>
          <w:kern w:val="0"/>
          <w:sz w:val="32"/>
          <w:szCs w:val="32"/>
          <w:highlight w:val="none"/>
          <w:lang w:val="en-US" w:eastAsia="zh-CN" w:bidi="ar-SA"/>
        </w:rPr>
        <w:t>培训内容涵盖线上精品课程建设、思政教师培训、教师教学能力提升、</w:t>
      </w:r>
      <w:r>
        <w:rPr>
          <w:rFonts w:ascii="仿宋_GB2312" w:hAnsi="仿宋_GB2312" w:eastAsia="仿宋_GB2312" w:cs="仿宋_GB2312"/>
          <w:color w:val="0C0C0C"/>
          <w:sz w:val="32"/>
          <w:szCs w:val="32"/>
          <w:highlight w:val="none"/>
        </w:rPr>
        <w:t>1+X证书制度教师职业技能能力提升培训、SIYB创业师资培训、教学诊改复核培训</w:t>
      </w:r>
      <w:r>
        <w:rPr>
          <w:rFonts w:hint="eastAsia" w:ascii="仿宋_GB2312" w:hAnsi="宋体" w:eastAsia="仿宋_GB2312" w:cs="宋体"/>
          <w:color w:val="000000"/>
          <w:kern w:val="0"/>
          <w:sz w:val="32"/>
          <w:szCs w:val="32"/>
          <w:highlight w:val="none"/>
          <w:lang w:val="en-US" w:eastAsia="zh-CN" w:bidi="ar-SA"/>
        </w:rPr>
        <w:t>等，培训方式也逐渐向线上远程培训倾斜，教师所接受的培训层次与质量不断提升，其中校级培训 15 次，占比 45.5%，省级培训 12 次，占比 36.4%；国家级培训 5 次，占比15.2%，侧面反映了学校越来越重视教师综合素质的提升与教学能力的培养。</w:t>
      </w:r>
    </w:p>
    <w:p>
      <w:pPr>
        <w:spacing w:before="161" w:line="221" w:lineRule="auto"/>
        <w:jc w:val="center"/>
        <w:rPr>
          <w:rFonts w:hint="eastAsia"/>
          <w:lang w:val="en-US" w:eastAsia="zh-CN"/>
        </w:rPr>
      </w:pP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9</w:t>
      </w:r>
      <w:r>
        <w:rPr>
          <w:rFonts w:ascii="宋体" w:hAnsi="宋体" w:eastAsia="宋体" w:cs="宋体"/>
          <w:color w:val="1F4E79"/>
          <w:spacing w:val="-4"/>
          <w:sz w:val="21"/>
          <w:szCs w:val="21"/>
        </w:rPr>
        <w:t xml:space="preserve"> </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 xml:space="preserve"> </w:t>
      </w:r>
      <w:r>
        <w:rPr>
          <w:rFonts w:ascii="宋体" w:hAnsi="宋体" w:eastAsia="宋体" w:cs="宋体"/>
          <w:color w:val="1F4E79"/>
          <w:spacing w:val="-4"/>
          <w:sz w:val="21"/>
          <w:szCs w:val="21"/>
        </w:rPr>
        <w:t xml:space="preserve"> </w:t>
      </w:r>
      <w:r>
        <w:rPr>
          <w:rFonts w:ascii="宋体" w:hAnsi="宋体" w:eastAsia="宋体" w:cs="宋体"/>
          <w:color w:val="1F4E79"/>
          <w:spacing w:val="-3"/>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1</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-202</w:t>
      </w: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2</w:t>
      </w:r>
      <w:r>
        <w:rPr>
          <w:rFonts w:ascii="宋体" w:hAnsi="宋体" w:eastAsia="宋体" w:cs="宋体"/>
          <w:color w:val="1F4E79"/>
          <w:spacing w:val="-2"/>
          <w:sz w:val="21"/>
          <w:szCs w:val="21"/>
        </w:rPr>
        <w:t xml:space="preserve"> </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年学校</w:t>
      </w:r>
      <w:r>
        <w:rPr>
          <w:rFonts w:hint="eastAsia" w:ascii="宋体" w:hAnsi="宋体" w:eastAsia="宋体" w:cs="宋体"/>
          <w:color w:val="1F4E79"/>
          <w:spacing w:val="-2"/>
          <w:sz w:val="21"/>
          <w:szCs w:val="21"/>
          <w:lang w:val="en-US" w:eastAsia="zh-CN"/>
          <w14:textOutline w14:w="3835" w14:cap="flat" w14:cmpd="sng">
            <w14:solidFill>
              <w14:srgbClr w14:val="1F4E79"/>
            </w14:solidFill>
            <w14:prstDash w14:val="solid"/>
            <w14:miter w14:val="0"/>
          </w14:textOutline>
        </w:rPr>
        <w:t>部分</w:t>
      </w:r>
      <w:r>
        <w:rPr>
          <w:rFonts w:ascii="宋体" w:hAnsi="宋体" w:eastAsia="宋体" w:cs="宋体"/>
          <w:color w:val="1F4E79"/>
          <w:spacing w:val="-2"/>
          <w:sz w:val="21"/>
          <w:szCs w:val="21"/>
          <w14:textOutline w14:w="3835" w14:cap="flat" w14:cmpd="sng">
            <w14:solidFill>
              <w14:srgbClr w14:val="1F4E79"/>
            </w14:solidFill>
            <w14:prstDash w14:val="solid"/>
            <w14:miter w14:val="0"/>
          </w14:textOutline>
        </w:rPr>
        <w:t>教师参加各级各类培训情况一览表</w:t>
      </w:r>
    </w:p>
    <w:tbl>
      <w:tblPr>
        <w:tblStyle w:val="15"/>
        <w:tblW w:w="800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6"/>
        <w:gridCol w:w="1110"/>
        <w:gridCol w:w="4530"/>
        <w:gridCol w:w="15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blHeader/>
        </w:trPr>
        <w:tc>
          <w:tcPr>
            <w:tcW w:w="786"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ascii="仿宋_GB2312" w:hAnsi="宋体" w:eastAsia="仿宋_GB2312" w:cs="仿宋_GB2312"/>
                <w:i w:val="0"/>
                <w:iCs w:val="0"/>
                <w:color w:val="000000"/>
                <w:sz w:val="28"/>
                <w:szCs w:val="28"/>
                <w:u w:val="none"/>
              </w:rPr>
            </w:pPr>
            <w:r>
              <w:rPr>
                <w:rFonts w:hint="default" w:ascii="仿宋_GB2312" w:hAnsi="宋体" w:eastAsia="仿宋_GB2312" w:cs="仿宋_GB2312"/>
                <w:i w:val="0"/>
                <w:iCs w:val="0"/>
                <w:color w:val="000000"/>
                <w:kern w:val="0"/>
                <w:sz w:val="28"/>
                <w:szCs w:val="28"/>
                <w:u w:val="none"/>
                <w:lang w:val="en-US" w:eastAsia="zh-CN" w:bidi="ar"/>
              </w:rPr>
              <w:t>序号</w:t>
            </w:r>
          </w:p>
        </w:tc>
        <w:tc>
          <w:tcPr>
            <w:tcW w:w="1110"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default" w:ascii="仿宋_GB2312" w:hAnsi="宋体" w:eastAsia="仿宋_GB2312" w:cs="仿宋_GB2312"/>
                <w:i w:val="0"/>
                <w:iCs w:val="0"/>
                <w:color w:val="000000"/>
                <w:sz w:val="28"/>
                <w:szCs w:val="28"/>
                <w:u w:val="none"/>
              </w:rPr>
            </w:pPr>
            <w:r>
              <w:rPr>
                <w:rFonts w:hint="default" w:ascii="仿宋_GB2312" w:hAnsi="宋体" w:eastAsia="仿宋_GB2312" w:cs="仿宋_GB2312"/>
                <w:i w:val="0"/>
                <w:iCs w:val="0"/>
                <w:color w:val="000000"/>
                <w:kern w:val="0"/>
                <w:sz w:val="28"/>
                <w:szCs w:val="28"/>
                <w:u w:val="none"/>
                <w:lang w:val="en-US" w:eastAsia="zh-CN" w:bidi="ar"/>
              </w:rPr>
              <w:t>姓名</w:t>
            </w:r>
          </w:p>
        </w:tc>
        <w:tc>
          <w:tcPr>
            <w:tcW w:w="4530" w:type="dxa"/>
            <w:tcBorders>
              <w:top w:val="single" w:color="000000" w:sz="4" w:space="0"/>
              <w:left w:val="single" w:color="000000" w:sz="4" w:space="0"/>
              <w:bottom w:val="single" w:color="000000" w:sz="4" w:space="0"/>
              <w:right w:val="single" w:color="000000" w:sz="4" w:space="0"/>
            </w:tcBorders>
            <w:shd w:val="clear" w:color="auto" w:fill="5B9BD5" w:themeFill="accent1"/>
            <w:vAlign w:val="center"/>
          </w:tcPr>
          <w:p>
            <w:pPr>
              <w:keepNext w:val="0"/>
              <w:keepLines w:val="0"/>
              <w:widowControl/>
              <w:suppressLineNumbers w:val="0"/>
              <w:jc w:val="center"/>
              <w:textAlignment w:val="center"/>
              <w:rPr>
                <w:rFonts w:hint="default" w:ascii="仿宋_GB2312" w:hAnsi="宋体" w:eastAsia="仿宋_GB2312" w:cs="仿宋_GB2312"/>
                <w:i w:val="0"/>
                <w:iCs w:val="0"/>
                <w:color w:val="000000"/>
                <w:sz w:val="28"/>
                <w:szCs w:val="28"/>
                <w:u w:val="none"/>
              </w:rPr>
            </w:pPr>
            <w:r>
              <w:rPr>
                <w:rFonts w:hint="default" w:ascii="仿宋_GB2312" w:hAnsi="宋体" w:eastAsia="仿宋_GB2312" w:cs="仿宋_GB2312"/>
                <w:i w:val="0"/>
                <w:iCs w:val="0"/>
                <w:color w:val="000000"/>
                <w:kern w:val="0"/>
                <w:sz w:val="28"/>
                <w:szCs w:val="28"/>
                <w:u w:val="none"/>
                <w:lang w:val="en-US" w:eastAsia="zh-CN" w:bidi="ar"/>
              </w:rPr>
              <w:t>培训项目名称</w:t>
            </w:r>
          </w:p>
        </w:tc>
        <w:tc>
          <w:tcPr>
            <w:tcW w:w="1575" w:type="dxa"/>
            <w:tcBorders>
              <w:top w:val="single" w:color="000000" w:sz="4" w:space="0"/>
              <w:left w:val="single" w:color="000000" w:sz="4" w:space="0"/>
              <w:bottom w:val="single" w:color="000000" w:sz="4" w:space="0"/>
              <w:right w:val="single" w:color="000000" w:sz="4" w:space="0"/>
            </w:tcBorders>
            <w:shd w:val="clear" w:color="auto" w:fill="5B9BD5" w:themeFill="accent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仿宋_GB2312" w:hAnsi="宋体" w:eastAsia="仿宋_GB2312" w:cs="仿宋_GB2312"/>
                <w:i w:val="0"/>
                <w:iCs w:val="0"/>
                <w:color w:val="000000"/>
                <w:kern w:val="0"/>
                <w:sz w:val="28"/>
                <w:szCs w:val="28"/>
                <w:u w:val="none"/>
                <w:lang w:val="en-US" w:eastAsia="zh-CN" w:bidi="ar"/>
              </w:rPr>
              <w:t>培训级别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刘爱玲</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bidi="ar"/>
              </w:rPr>
              <w:t>江西省中职数学、体育与健康课程标准培训会议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宋达帆</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应急救护师资</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熊晖</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甘露</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孙细华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张滨</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徐国明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倪龙</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周筱明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宋春风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宋琳娟</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姜雁鸣</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王太平</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吴清华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邱爱萍</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余慧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陈海燕</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柴婷</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汤泉水</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刘爱玲</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林丹</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林丹</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江西省职业院校教师素质提高计划特色项目(中高职教学能力大赛选拔培训项目)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黄涛</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黄结义</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宋达帆</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蔡秋萍</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汪林</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吴蓉琴</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洪军明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黎文晶</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徐优权</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1+x新媒体编辑等级证书师资培训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吴超</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厦门大学素质技能提升培训班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王美琦</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1+x界面设计等级证书师资培训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王美琦</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厦门大学骨干教师能力提升培训班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章文佳</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1+xwps办公应用师资培训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黄乐</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1+x界面设计等级证书师资培训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黄乐</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国培-职业教育改革专题</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黄乐</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厦门大学素质技能提升培训班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黄乐</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2022暑期教师研修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叶子豪</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1+x数字影像处理师师资培训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叶子豪</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1+x新媒体编辑等级证书师资培训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张兰</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江西省2021年度职业院校教师素质提高计划三教改革研修培训项目中职-教师信息技术应用能力提升班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钱百惠</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1+xwps办公应用师资培训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夏迎良</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中层干部及骨干教师培训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夏迎良</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"1+X幼儿照护职业技能等级证书（初级）考务技术及督导员培训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夏迎良</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2022年暑假教师研修专题培训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夏迎良</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江西干部网络学院培训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周志英</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2021江西省中高职辅导员心理干预网络专题培训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周志英</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2021年度江西省职业院校</w:t>
            </w:r>
          </w:p>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教师素质提高计划特色创新项目培训班</w:t>
            </w:r>
          </w:p>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（中高职-教学能力大赛选拔培训项目)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雷蕾</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1+X幼儿照护职业技能等级证书（初级）考务技术及督导员培训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付恬</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中高职-财务会计培训专题</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韩月</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2021年度江西省职业院校</w:t>
            </w:r>
          </w:p>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教师素质提高计划特色创新项目培训班</w:t>
            </w:r>
          </w:p>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（中高职-教学能力大赛选拔培训项目)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韩月</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中层干部及骨干教师培训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潘原英</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X幼儿照护（初级）师资考评员培训（线上）</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潘原英</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SIYB创业讲师培训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蔡江川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1+X幼儿照护职业技能等级证书（初级）考务技术及督导员培训（线上）</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谢思思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中层干部及骨干教师培训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谢思思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2022年暑假教师研修专题培训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谢思思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SIYB创业讲师培训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李丽娜</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1+X幼儿照护职业技能等级证书（高级）试点院校(中高职)教师培训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姚依依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2021江西省中高职辅导员心理干预网络专题培训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倪佳慧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X幼儿照护（初级）师资考评员培训（线上）</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陈梦薇</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中高职教师素质协同提升（线上）</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罗玲</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X幼儿照护（初级）师资考评员培训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线下1+X培训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赵梓</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2022年暑假教师研修专题培训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潘怡</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X幼儿照护（初级）师资考评员培训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线下1+X培训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潘怡</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2022年暑假教师研修专题培训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潘怡</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中层干部及骨干教师培训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赵梓</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bidi="ar"/>
              </w:rPr>
              <w:t>2021江西省中高职思想政治工作网络专题培训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邱爱萍</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bidi="ar"/>
              </w:rPr>
              <w:t>2021江西省中高职思想政治工作网络专题培训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谢思思</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教师教学综合能力提升研修班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罗晶晶</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2022年暑假教师研修专题培训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朱光贤</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SIYB创业培训讲师</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刘苏敏</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中车行1+X培训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线上线下结合1+X培训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刘苏敏</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中高职衔接骨干教师培训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线上线下国培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刘苏敏</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职教改革提升培训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刘苏敏</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2022年暑假教师培训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周聪辉</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职教改革提升培训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周聪辉</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中车行1+X考评员培训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线上线下结合1+X培训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周聪辉</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机械工程制图1+X培训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线上1+X培训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汤劲风</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2021年度江西省职教国培项目中职汽车运用与维修技术课程实施能力提升</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黄庆生</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机械工程制图职业技能等级证书全国师资培训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刘志太</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职教改革提升培训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刘志太</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2021年度江西省职业技能竞赛技术专家培训班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许钢碧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江西省汽车运用与维修1+X证书师资培训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许钢碧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bidi="ar"/>
              </w:rPr>
              <w:t>机械工程制图职业技能等级证书全国师资培训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杨慧</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财务共享服务职业技能培训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高薇</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1+x研学旅行策划中级培训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高薇</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国培职业教育改革专题</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廖欣</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1+x研学旅行策划初级培训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柴嘉韵</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1+x网店运营推广初级考评员培训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柴嘉韵</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人社部高级电子商务师</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柴嘉韵</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江西省精品课程提高班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柴嘉韵</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人社部电子商务师考评员</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王鲁萍</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1+x研学旅行策划中级培训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易丽</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财务共享服务职业技能培训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陈翀</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1+x研学旅行策划中级培训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陈翀</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国培职业教育改革专题</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陈翀</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暑期师资培训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官小苹</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江西省职教国培远程培训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刘恒荣</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全国中等职业学校在线精品课程建设与应用培训会议</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86"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王鲁萍</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1+x研学旅行策划初级培训</w:t>
            </w:r>
          </w:p>
        </w:tc>
        <w:tc>
          <w:tcPr>
            <w:tcW w:w="1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国培</w:t>
            </w:r>
          </w:p>
        </w:tc>
      </w:tr>
    </w:tbl>
    <w:p>
      <w:pPr>
        <w:rPr>
          <w:rFonts w:hint="eastAsia"/>
          <w:lang w:val="en-US" w:eastAsia="zh-CN"/>
        </w:rPr>
      </w:pPr>
    </w:p>
    <w:p>
      <w:pPr>
        <w:pStyle w:val="4"/>
        <w:bidi w:val="0"/>
        <w:rPr>
          <w:rFonts w:hint="default"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58" w:name="_Toc5894"/>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3.7校企双元育人</w:t>
      </w:r>
      <w:bookmarkEnd w:id="58"/>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宋体" w:eastAsia="仿宋_GB2312" w:cs="宋体"/>
          <w:color w:val="000000"/>
          <w:kern w:val="0"/>
          <w:sz w:val="32"/>
          <w:szCs w:val="32"/>
          <w:lang w:val="en-US" w:eastAsia="zh-CN" w:bidi="ar-SA"/>
        </w:rPr>
      </w:pPr>
      <w:r>
        <w:rPr>
          <w:rFonts w:hint="eastAsia" w:ascii="仿宋_GB2312" w:hAnsi="仿宋_GB2312" w:eastAsia="仿宋_GB2312" w:cs="仿宋_GB2312"/>
          <w:b w:val="0"/>
          <w:bCs w:val="0"/>
          <w:i w:val="0"/>
          <w:iCs w:val="0"/>
          <w:caps w:val="0"/>
          <w:color w:val="333333"/>
          <w:spacing w:val="0"/>
          <w:sz w:val="32"/>
          <w:szCs w:val="32"/>
          <w:u w:val="none"/>
          <w:vertAlign w:val="baseline"/>
        </w:rPr>
        <w:t>为</w:t>
      </w:r>
      <w:r>
        <w:rPr>
          <w:rFonts w:hint="eastAsia" w:ascii="仿宋_GB2312" w:hAnsi="宋体" w:eastAsia="仿宋_GB2312" w:cs="宋体"/>
          <w:color w:val="000000"/>
          <w:kern w:val="0"/>
          <w:sz w:val="32"/>
          <w:szCs w:val="32"/>
          <w:lang w:val="en-US" w:eastAsia="zh-CN" w:bidi="ar-SA"/>
        </w:rPr>
        <w:t>深入贯彻落实习近平总书记关于教育的重要论述和全国教育大会精神，学</w:t>
      </w:r>
      <w:r>
        <w:rPr>
          <w:rFonts w:hint="eastAsia" w:ascii="仿宋_GB2312" w:hAnsi="宋体" w:eastAsia="仿宋_GB2312" w:cs="宋体"/>
          <w:color w:val="000000"/>
          <w:kern w:val="0"/>
          <w:sz w:val="32"/>
          <w:szCs w:val="32"/>
          <w:lang w:val="en-US" w:eastAsia="zh-Hans" w:bidi="ar-SA"/>
        </w:rPr>
        <w:t>校</w:t>
      </w:r>
      <w:r>
        <w:rPr>
          <w:rFonts w:hint="eastAsia" w:ascii="仿宋_GB2312" w:hAnsi="宋体" w:eastAsia="仿宋_GB2312" w:cs="宋体"/>
          <w:color w:val="000000"/>
          <w:kern w:val="0"/>
          <w:sz w:val="32"/>
          <w:szCs w:val="32"/>
          <w:lang w:val="en-US" w:eastAsia="zh-CN" w:bidi="ar-SA"/>
        </w:rPr>
        <w:t>以习近平新时代中国特色社会主义思想为指导，加快促进产教融合，校企“双元”育人。</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Hans" w:bidi="ar-SA"/>
        </w:rPr>
        <w:t>我校</w:t>
      </w:r>
      <w:r>
        <w:rPr>
          <w:rFonts w:hint="eastAsia" w:ascii="仿宋_GB2312" w:hAnsi="宋体" w:eastAsia="仿宋_GB2312" w:cs="宋体"/>
          <w:color w:val="000000"/>
          <w:kern w:val="0"/>
          <w:sz w:val="32"/>
          <w:szCs w:val="32"/>
          <w:lang w:val="en-US" w:eastAsia="zh-CN" w:bidi="ar-SA"/>
        </w:rPr>
        <w:t>坚持知行合一、工学结合。借鉴现代学徒制、企业新型学徒制、“双元制”等模式，校企共同研究制定人才培养方案，及时将新技术、新工艺、新规范纳入教学标准和教学内容，强化学生实习实训。加快健全专业教学资源库，校企建立共建共享平台的资源认证标准和交易机制，进一步扩大优质资源覆盖面。遴选认定一批职业教育在线精品课程，建设一批校企“双元”合作开发的国家规划教材，倡导使用新型活页式、工作手册式教材并配套开发信息化资源。适应“互联网+职业教育”发展需求，运用现代信息技术改进教学方式方法，推进虚拟工厂等网络学习空间建设和普遍应用。</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学</w:t>
      </w:r>
      <w:r>
        <w:rPr>
          <w:rFonts w:hint="eastAsia" w:ascii="仿宋_GB2312" w:hAnsi="宋体" w:eastAsia="仿宋_GB2312" w:cs="宋体"/>
          <w:color w:val="000000"/>
          <w:kern w:val="0"/>
          <w:sz w:val="32"/>
          <w:szCs w:val="32"/>
          <w:lang w:val="en-US" w:eastAsia="zh-Hans" w:bidi="ar-SA"/>
        </w:rPr>
        <w:t>校</w:t>
      </w:r>
      <w:r>
        <w:rPr>
          <w:rFonts w:hint="eastAsia" w:ascii="仿宋_GB2312" w:hAnsi="宋体" w:eastAsia="仿宋_GB2312" w:cs="宋体"/>
          <w:color w:val="000000"/>
          <w:kern w:val="0"/>
          <w:sz w:val="32"/>
          <w:szCs w:val="32"/>
          <w:lang w:val="en-US" w:eastAsia="zh-CN" w:bidi="ar-SA"/>
        </w:rPr>
        <w:t>根据自身特点和人才培养需要，主动与具备条件的企业在人才培养、技术创新、就业创业、社会服务、文化传承等方面开展合作。如：与</w:t>
      </w:r>
      <w:r>
        <w:rPr>
          <w:rFonts w:hint="eastAsia" w:ascii="仿宋_GB2312" w:hAnsi="宋体" w:eastAsia="仿宋_GB2312" w:cs="宋体"/>
          <w:color w:val="000000"/>
          <w:kern w:val="0"/>
          <w:sz w:val="32"/>
          <w:szCs w:val="32"/>
          <w:lang w:val="en-US" w:eastAsia="zh-Hans" w:bidi="ar-SA"/>
        </w:rPr>
        <w:t>鹰潭市瑞源精密制造</w:t>
      </w:r>
      <w:r>
        <w:rPr>
          <w:rFonts w:hint="eastAsia" w:ascii="仿宋_GB2312" w:hAnsi="宋体" w:eastAsia="仿宋_GB2312" w:cs="宋体"/>
          <w:color w:val="000000"/>
          <w:kern w:val="0"/>
          <w:sz w:val="32"/>
          <w:szCs w:val="32"/>
          <w:lang w:val="en-US" w:eastAsia="zh-CN" w:bidi="ar-SA"/>
        </w:rPr>
        <w:t>有限公司、</w:t>
      </w:r>
      <w:r>
        <w:rPr>
          <w:rFonts w:hint="eastAsia" w:ascii="仿宋_GB2312" w:hAnsi="宋体" w:eastAsia="仿宋_GB2312" w:cs="宋体"/>
          <w:color w:val="000000"/>
          <w:kern w:val="0"/>
          <w:sz w:val="32"/>
          <w:szCs w:val="32"/>
          <w:lang w:val="en-US" w:eastAsia="zh-Hans" w:bidi="ar-SA"/>
        </w:rPr>
        <w:t>沃德尔科技有限公司</w:t>
      </w:r>
      <w:r>
        <w:rPr>
          <w:rFonts w:hint="eastAsia" w:ascii="仿宋_GB2312" w:hAnsi="宋体" w:eastAsia="仿宋_GB2312" w:cs="宋体"/>
          <w:color w:val="000000"/>
          <w:kern w:val="0"/>
          <w:sz w:val="32"/>
          <w:szCs w:val="32"/>
          <w:lang w:val="en-US" w:eastAsia="zh-CN" w:bidi="ar-SA"/>
        </w:rPr>
        <w:t>、</w:t>
      </w:r>
      <w:r>
        <w:rPr>
          <w:rFonts w:hint="eastAsia" w:ascii="仿宋_GB2312" w:hAnsi="宋体" w:eastAsia="仿宋_GB2312" w:cs="宋体"/>
          <w:color w:val="000000"/>
          <w:kern w:val="0"/>
          <w:sz w:val="32"/>
          <w:szCs w:val="32"/>
          <w:lang w:val="en-US" w:eastAsia="zh-Hans" w:bidi="ar-SA"/>
        </w:rPr>
        <w:t>鹰潭市百盈光电有限公司</w:t>
      </w:r>
      <w:r>
        <w:rPr>
          <w:rFonts w:hint="eastAsia" w:ascii="仿宋_GB2312" w:hAnsi="宋体" w:eastAsia="仿宋_GB2312" w:cs="宋体"/>
          <w:color w:val="000000"/>
          <w:kern w:val="0"/>
          <w:sz w:val="32"/>
          <w:szCs w:val="32"/>
          <w:lang w:val="en-US" w:eastAsia="zh-CN" w:bidi="ar-SA"/>
        </w:rPr>
        <w:t>、</w:t>
      </w:r>
      <w:r>
        <w:rPr>
          <w:rFonts w:hint="eastAsia" w:ascii="仿宋_GB2312" w:hAnsi="宋体" w:eastAsia="仿宋_GB2312" w:cs="宋体"/>
          <w:color w:val="000000"/>
          <w:kern w:val="0"/>
          <w:sz w:val="32"/>
          <w:szCs w:val="32"/>
          <w:lang w:val="en-US" w:eastAsia="zh-Hans" w:bidi="ar-SA"/>
        </w:rPr>
        <w:t>鹰潭市钱源眼镜有限公司</w:t>
      </w:r>
      <w:r>
        <w:rPr>
          <w:rFonts w:hint="eastAsia" w:ascii="仿宋_GB2312" w:hAnsi="宋体" w:eastAsia="仿宋_GB2312" w:cs="宋体"/>
          <w:color w:val="000000"/>
          <w:kern w:val="0"/>
          <w:sz w:val="32"/>
          <w:szCs w:val="32"/>
          <w:lang w:val="en-US" w:eastAsia="zh-CN" w:bidi="ar-SA"/>
        </w:rPr>
        <w:t>签订订单班协议。学校积极为企业提供所需的课程、师资等资源，企业应当依法履行实施职业教育的义务，利用资本、技术、知识、设施、设备和管理等要素参与校企合作，促进人力资源开发。</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宋体" w:eastAsia="仿宋_GB2312" w:cs="宋体"/>
          <w:color w:val="000000"/>
          <w:kern w:val="0"/>
          <w:sz w:val="32"/>
          <w:szCs w:val="32"/>
          <w:lang w:val="en-US" w:eastAsia="zh-CN" w:bidi="ar-SA"/>
        </w:rPr>
      </w:pPr>
      <w:r>
        <w:rPr>
          <w:rFonts w:hint="eastAsia" w:ascii="仿宋_GB2312" w:hAnsi="宋体" w:eastAsia="仿宋_GB2312" w:cs="宋体"/>
          <w:color w:val="000000"/>
          <w:kern w:val="0"/>
          <w:sz w:val="32"/>
          <w:szCs w:val="32"/>
          <w:lang w:val="en-US" w:eastAsia="zh-CN" w:bidi="ar-SA"/>
        </w:rPr>
        <w:t>我</w:t>
      </w:r>
      <w:r>
        <w:rPr>
          <w:rFonts w:hint="eastAsia" w:ascii="仿宋_GB2312" w:hAnsi="宋体" w:eastAsia="仿宋_GB2312" w:cs="宋体"/>
          <w:color w:val="000000"/>
          <w:kern w:val="0"/>
          <w:sz w:val="32"/>
          <w:szCs w:val="32"/>
          <w:lang w:val="en-US" w:eastAsia="zh-Hans" w:bidi="ar-SA"/>
        </w:rPr>
        <w:t>校</w:t>
      </w:r>
      <w:r>
        <w:rPr>
          <w:rFonts w:hint="eastAsia" w:ascii="仿宋_GB2312" w:hAnsi="宋体" w:eastAsia="仿宋_GB2312" w:cs="宋体"/>
          <w:color w:val="000000"/>
          <w:kern w:val="0"/>
          <w:sz w:val="32"/>
          <w:szCs w:val="32"/>
          <w:lang w:val="en-US" w:eastAsia="zh-CN" w:bidi="ar-SA"/>
        </w:rPr>
        <w:t>始终坚持培养符合地方经济社会发展需求的高素质技能型人才，将“深化政校企合作，打造校中有企、企中有校、产教融合新格局”纳入</w:t>
      </w:r>
      <w:r>
        <w:rPr>
          <w:rFonts w:hint="eastAsia" w:ascii="仿宋_GB2312" w:hAnsi="宋体" w:eastAsia="仿宋_GB2312" w:cs="宋体"/>
          <w:color w:val="000000"/>
          <w:kern w:val="0"/>
          <w:sz w:val="32"/>
          <w:szCs w:val="32"/>
          <w:lang w:val="en-US" w:eastAsia="zh-Hans" w:bidi="ar-SA"/>
        </w:rPr>
        <w:t>学校</w:t>
      </w:r>
      <w:r>
        <w:rPr>
          <w:rFonts w:hint="eastAsia" w:ascii="仿宋_GB2312" w:hAnsi="宋体" w:eastAsia="仿宋_GB2312" w:cs="宋体"/>
          <w:color w:val="000000"/>
          <w:kern w:val="0"/>
          <w:sz w:val="32"/>
          <w:szCs w:val="32"/>
          <w:lang w:val="en-US" w:eastAsia="zh-CN" w:bidi="ar-SA"/>
        </w:rPr>
        <w:t>十四五发展规划。努力把</w:t>
      </w:r>
      <w:r>
        <w:rPr>
          <w:rFonts w:hint="eastAsia" w:ascii="仿宋_GB2312" w:hAnsi="宋体" w:eastAsia="仿宋_GB2312" w:cs="宋体"/>
          <w:color w:val="000000"/>
          <w:kern w:val="0"/>
          <w:sz w:val="32"/>
          <w:szCs w:val="32"/>
          <w:lang w:val="en-US" w:eastAsia="zh-Hans" w:bidi="ar-SA"/>
        </w:rPr>
        <w:t>鹰潭应用工程学校</w:t>
      </w:r>
      <w:r>
        <w:rPr>
          <w:rFonts w:hint="eastAsia" w:ascii="仿宋_GB2312" w:hAnsi="宋体" w:eastAsia="仿宋_GB2312" w:cs="宋体"/>
          <w:color w:val="000000"/>
          <w:kern w:val="0"/>
          <w:sz w:val="32"/>
          <w:szCs w:val="32"/>
          <w:lang w:val="en-US" w:eastAsia="zh-CN" w:bidi="ar-SA"/>
        </w:rPr>
        <w:t>建设成为面向市场的就业教育、面向社会的跨界教育、面向能力的实践教育、面向人人的终身教育，为打造社会崇尚技能、人人学习技能、人人拥有技能的技能型社会建设作出应有贡献。</w:t>
      </w:r>
    </w:p>
    <w:p>
      <w:r>
        <w:drawing>
          <wp:inline distT="0" distB="0" distL="114300" distR="114300">
            <wp:extent cx="5266690" cy="3950335"/>
            <wp:effectExtent l="0" t="0" r="10160" b="1206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7"/>
                    <a:stretch>
                      <a:fillRect/>
                    </a:stretch>
                  </pic:blipFill>
                  <pic:spPr>
                    <a:xfrm>
                      <a:off x="0" y="0"/>
                      <a:ext cx="5266690" cy="3950335"/>
                    </a:xfrm>
                    <a:prstGeom prst="rect">
                      <a:avLst/>
                    </a:prstGeom>
                    <a:noFill/>
                    <a:ln>
                      <a:noFill/>
                    </a:ln>
                  </pic:spPr>
                </pic:pic>
              </a:graphicData>
            </a:graphic>
          </wp:inline>
        </w:drawing>
      </w:r>
      <w:r>
        <w:drawing>
          <wp:inline distT="0" distB="0" distL="114300" distR="114300">
            <wp:extent cx="5255895" cy="3503930"/>
            <wp:effectExtent l="0" t="0" r="190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a:stretch>
                      <a:fillRect/>
                    </a:stretch>
                  </pic:blipFill>
                  <pic:spPr>
                    <a:xfrm>
                      <a:off x="0" y="0"/>
                      <a:ext cx="5255895" cy="3503930"/>
                    </a:xfrm>
                    <a:prstGeom prst="rect">
                      <a:avLst/>
                    </a:prstGeom>
                    <a:noFill/>
                    <a:ln>
                      <a:noFill/>
                    </a:ln>
                  </pic:spPr>
                </pic:pic>
              </a:graphicData>
            </a:graphic>
          </wp:inline>
        </w:drawing>
      </w:r>
      <w:r>
        <w:drawing>
          <wp:inline distT="0" distB="0" distL="114300" distR="114300">
            <wp:extent cx="5266690" cy="3950335"/>
            <wp:effectExtent l="0" t="0" r="10160" b="1206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5266690" cy="3950335"/>
                    </a:xfrm>
                    <a:prstGeom prst="rect">
                      <a:avLst/>
                    </a:prstGeom>
                    <a:noFill/>
                    <a:ln>
                      <a:noFill/>
                    </a:ln>
                  </pic:spPr>
                </pic:pic>
              </a:graphicData>
            </a:graphic>
          </wp:inline>
        </w:drawing>
      </w:r>
    </w:p>
    <w:p>
      <w:pPr>
        <w:rPr>
          <w:rFonts w:hint="eastAsia"/>
          <w:lang w:val="en-US" w:eastAsia="zh-CN"/>
        </w:rPr>
      </w:pPr>
    </w:p>
    <w:p>
      <w:pPr>
        <w:pStyle w:val="14"/>
        <w:numPr>
          <w:ilvl w:val="0"/>
          <w:numId w:val="0"/>
        </w:numPr>
        <w:spacing w:line="600" w:lineRule="exact"/>
        <w:jc w:val="both"/>
        <w:outlineLvl w:val="0"/>
        <w:rPr>
          <w:rFonts w:hint="eastAsia" w:ascii="黑体" w:hAnsi="黑体" w:eastAsia="黑体" w:cs="黑体"/>
          <w:b/>
          <w:bCs/>
          <w:color w:val="000000"/>
          <w:spacing w:val="0"/>
          <w:w w:val="100"/>
          <w:kern w:val="2"/>
          <w:position w:val="0"/>
          <w:sz w:val="32"/>
          <w:szCs w:val="32"/>
          <w:u w:val="none"/>
          <w:shd w:val="clear" w:color="auto" w:fill="auto"/>
          <w:lang w:val="en-US" w:eastAsia="zh-CN" w:bidi="zh-TW"/>
        </w:rPr>
      </w:pPr>
      <w:bookmarkStart w:id="59" w:name="_Toc11007"/>
      <w:r>
        <w:rPr>
          <w:rFonts w:hint="eastAsia" w:ascii="黑体" w:hAnsi="黑体" w:eastAsia="黑体" w:cs="黑体"/>
          <w:b/>
          <w:bCs/>
          <w:color w:val="000000"/>
          <w:spacing w:val="0"/>
          <w:w w:val="100"/>
          <w:kern w:val="2"/>
          <w:position w:val="0"/>
          <w:sz w:val="32"/>
          <w:szCs w:val="32"/>
          <w:u w:val="none"/>
          <w:shd w:val="clear" w:color="auto" w:fill="auto"/>
          <w:lang w:val="en-US" w:eastAsia="zh-CN" w:bidi="zh-TW"/>
        </w:rPr>
        <w:t>4.国际合作质量</w:t>
      </w:r>
      <w:bookmarkEnd w:id="59"/>
    </w:p>
    <w:p>
      <w:pPr>
        <w:pStyle w:val="14"/>
        <w:numPr>
          <w:ilvl w:val="0"/>
          <w:numId w:val="0"/>
        </w:numPr>
        <w:spacing w:line="600" w:lineRule="exact"/>
        <w:jc w:val="both"/>
        <w:outlineLvl w:val="0"/>
        <w:rPr>
          <w:rFonts w:hint="default" w:ascii="仿宋_GB2312" w:hAnsi="仿宋_GB2312" w:eastAsia="仿宋_GB2312" w:cs="仿宋_GB2312"/>
          <w:b w:val="0"/>
          <w:bCs w:val="0"/>
          <w:i w:val="0"/>
          <w:iCs w:val="0"/>
          <w:caps w:val="0"/>
          <w:color w:val="333333"/>
          <w:spacing w:val="0"/>
          <w:kern w:val="0"/>
          <w:sz w:val="32"/>
          <w:szCs w:val="32"/>
          <w:u w:val="none"/>
          <w:vertAlign w:val="baseline"/>
          <w:lang w:val="en-US" w:eastAsia="zh-CN" w:bidi="ar-SA"/>
        </w:rPr>
      </w:pPr>
      <w:bookmarkStart w:id="60" w:name="_Toc19539"/>
      <w:bookmarkStart w:id="61" w:name="_Toc19744"/>
      <w:bookmarkStart w:id="62" w:name="_Toc10952"/>
      <w:r>
        <w:rPr>
          <w:rFonts w:hint="eastAsia" w:ascii="仿宋_GB2312" w:hAnsi="仿宋_GB2312" w:eastAsia="仿宋_GB2312" w:cs="仿宋_GB2312"/>
          <w:b w:val="0"/>
          <w:bCs w:val="0"/>
          <w:i w:val="0"/>
          <w:iCs w:val="0"/>
          <w:caps w:val="0"/>
          <w:color w:val="333333"/>
          <w:spacing w:val="0"/>
          <w:kern w:val="0"/>
          <w:sz w:val="32"/>
          <w:szCs w:val="32"/>
          <w:u w:val="none"/>
          <w:vertAlign w:val="baseline"/>
          <w:lang w:val="en-US" w:eastAsia="zh-CN" w:bidi="ar-SA"/>
        </w:rPr>
        <w:t>由于新冠肺炎疫情，我校暂停了国际合作学校交流工作。</w:t>
      </w:r>
      <w:bookmarkEnd w:id="60"/>
      <w:bookmarkEnd w:id="61"/>
      <w:bookmarkEnd w:id="62"/>
    </w:p>
    <w:p>
      <w:pPr>
        <w:pStyle w:val="14"/>
        <w:numPr>
          <w:ilvl w:val="0"/>
          <w:numId w:val="0"/>
        </w:numPr>
        <w:spacing w:line="600" w:lineRule="exact"/>
        <w:jc w:val="both"/>
        <w:outlineLvl w:val="0"/>
        <w:rPr>
          <w:rFonts w:hint="eastAsia" w:ascii="黑体" w:hAnsi="黑体" w:eastAsia="黑体" w:cs="黑体"/>
          <w:b/>
          <w:bCs/>
          <w:color w:val="000000"/>
          <w:spacing w:val="0"/>
          <w:w w:val="100"/>
          <w:kern w:val="2"/>
          <w:position w:val="0"/>
          <w:sz w:val="32"/>
          <w:szCs w:val="32"/>
          <w:u w:val="none"/>
          <w:shd w:val="clear" w:color="auto" w:fill="auto"/>
          <w:lang w:val="en-US" w:eastAsia="zh-CN" w:bidi="zh-TW"/>
        </w:rPr>
      </w:pPr>
      <w:bookmarkStart w:id="63" w:name="_Toc16588"/>
      <w:r>
        <w:rPr>
          <w:rFonts w:hint="eastAsia" w:ascii="黑体" w:hAnsi="黑体" w:eastAsia="黑体" w:cs="黑体"/>
          <w:b/>
          <w:bCs/>
          <w:color w:val="000000"/>
          <w:spacing w:val="0"/>
          <w:w w:val="100"/>
          <w:kern w:val="2"/>
          <w:position w:val="0"/>
          <w:sz w:val="32"/>
          <w:szCs w:val="32"/>
          <w:u w:val="none"/>
          <w:shd w:val="clear" w:color="auto" w:fill="auto"/>
          <w:lang w:val="en-US" w:eastAsia="zh-CN" w:bidi="zh-TW"/>
        </w:rPr>
        <w:t>5.服务贡献质量</w:t>
      </w:r>
      <w:bookmarkEnd w:id="63"/>
    </w:p>
    <w:p>
      <w:pPr>
        <w:pStyle w:val="5"/>
        <w:bidi w:val="0"/>
        <w:rPr>
          <w:rFonts w:hint="eastAsia" w:ascii="仿宋_GB2312" w:hAnsi="仿宋_GB2312" w:eastAsia="仿宋_GB2312" w:cs="仿宋_GB2312"/>
          <w:b/>
          <w:bCs/>
          <w:color w:val="0C0C0C"/>
          <w:kern w:val="0"/>
          <w:sz w:val="32"/>
          <w:szCs w:val="32"/>
          <w:lang w:val="en-US" w:eastAsia="zh-CN" w:bidi="ar-SA"/>
        </w:rPr>
      </w:pPr>
      <w:bookmarkStart w:id="64" w:name="_Toc18802"/>
      <w:r>
        <w:rPr>
          <w:rFonts w:hint="eastAsia" w:ascii="仿宋_GB2312" w:hAnsi="仿宋_GB2312" w:eastAsia="仿宋_GB2312" w:cs="仿宋_GB2312"/>
          <w:b/>
          <w:bCs/>
          <w:color w:val="0C0C0C"/>
          <w:kern w:val="0"/>
          <w:sz w:val="32"/>
          <w:szCs w:val="32"/>
          <w:lang w:val="en-US" w:eastAsia="zh-CN" w:bidi="ar-SA"/>
        </w:rPr>
        <w:t>5.1服务行业企业</w:t>
      </w:r>
      <w:bookmarkEnd w:id="64"/>
    </w:p>
    <w:p>
      <w:pPr>
        <w:pStyle w:val="5"/>
        <w:bidi w:val="0"/>
        <w:rPr>
          <w:rFonts w:hint="eastAsia" w:ascii="仿宋_GB2312" w:hAnsi="仿宋_GB2312" w:eastAsia="仿宋_GB2312" w:cs="仿宋_GB2312"/>
          <w:b/>
          <w:bCs/>
          <w:i w:val="0"/>
          <w:iCs w:val="0"/>
          <w:caps w:val="0"/>
          <w:color w:val="333333"/>
          <w:spacing w:val="0"/>
          <w:sz w:val="32"/>
          <w:szCs w:val="32"/>
          <w:u w:val="none"/>
          <w:vertAlign w:val="baseline"/>
          <w:lang w:val="en-US" w:eastAsia="zh-CN"/>
        </w:rPr>
      </w:pPr>
      <w:bookmarkStart w:id="65" w:name="_Toc5068"/>
      <w:bookmarkStart w:id="66" w:name="_Toc15890"/>
      <w:bookmarkStart w:id="67" w:name="_Toc11862"/>
      <w:bookmarkStart w:id="68" w:name="_Toc28415"/>
      <w:r>
        <w:rPr>
          <w:rFonts w:hint="eastAsia" w:ascii="仿宋_GB2312" w:hAnsi="仿宋_GB2312" w:eastAsia="仿宋_GB2312" w:cs="仿宋_GB2312"/>
          <w:b w:val="0"/>
          <w:bCs w:val="0"/>
          <w:i w:val="0"/>
          <w:iCs w:val="0"/>
          <w:caps w:val="0"/>
          <w:color w:val="333333"/>
          <w:spacing w:val="0"/>
          <w:sz w:val="32"/>
          <w:szCs w:val="32"/>
          <w:u w:val="none"/>
          <w:vertAlign w:val="baseline"/>
        </w:rPr>
        <w:t>【案例</w:t>
      </w: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1</w:t>
      </w:r>
      <w:r>
        <w:rPr>
          <w:rFonts w:hint="eastAsia" w:ascii="仿宋_GB2312" w:hAnsi="仿宋_GB2312" w:eastAsia="仿宋_GB2312" w:cs="仿宋_GB2312"/>
          <w:b w:val="0"/>
          <w:bCs w:val="0"/>
          <w:i w:val="0"/>
          <w:iCs w:val="0"/>
          <w:caps w:val="0"/>
          <w:color w:val="333333"/>
          <w:spacing w:val="0"/>
          <w:sz w:val="32"/>
          <w:szCs w:val="32"/>
          <w:u w:val="none"/>
          <w:vertAlign w:val="baseline"/>
        </w:rPr>
        <w:t>】</w:t>
      </w:r>
      <w:r>
        <w:rPr>
          <w:rFonts w:hint="eastAsia" w:ascii="仿宋_GB2312" w:hAnsi="仿宋_GB2312" w:eastAsia="仿宋_GB2312" w:cs="仿宋_GB2312"/>
          <w:b/>
          <w:bCs/>
          <w:i w:val="0"/>
          <w:iCs w:val="0"/>
          <w:caps w:val="0"/>
          <w:color w:val="333333"/>
          <w:spacing w:val="0"/>
          <w:sz w:val="32"/>
          <w:szCs w:val="32"/>
          <w:u w:val="none"/>
          <w:vertAlign w:val="baseline"/>
          <w:lang w:val="en-US" w:eastAsia="zh-CN"/>
        </w:rPr>
        <w:t>用我手中的镜片、还你一片清晰的世界</w:t>
      </w:r>
      <w:bookmarkEnd w:id="65"/>
      <w:bookmarkEnd w:id="66"/>
      <w:bookmarkEnd w:id="67"/>
      <w:bookmarkEnd w:id="68"/>
    </w:p>
    <w:p>
      <w:pPr>
        <w:pStyle w:val="5"/>
        <w:bidi w:val="0"/>
        <w:ind w:firstLine="640" w:firstLineChars="200"/>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bookmarkStart w:id="69" w:name="_Toc10956"/>
      <w:bookmarkStart w:id="70" w:name="_Toc19749"/>
      <w:bookmarkStart w:id="71" w:name="_Toc16787"/>
      <w:bookmarkStart w:id="72" w:name="_Toc4640"/>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深化产教融合，是职业教育人才培养的有效途径，对于提升学生的职业技能和职业素养具有重要作用，我校作为一所中职学校，眼视光专业在产教融合方面立足现实，面向本地，服务好订单培养，在最基础的产教融合方式上做出自己的特色，自己的品牌。</w:t>
      </w:r>
      <w:bookmarkEnd w:id="69"/>
      <w:bookmarkEnd w:id="70"/>
      <w:bookmarkEnd w:id="71"/>
      <w:bookmarkEnd w:id="72"/>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一、服务区域经济发展新要求，主动加强专业发展软硬实力</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《国务院办公厅关于深化产教融合的若干意见》指出，要面向产业和区域发展需求，完善教育资源布局，加快人才培养结构调整，创新教育组织形态，促进教育和产业联动发展。</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鹰潭应用工程学校眼视光专业，有着丰富的办学经验，这几年为服务余江眼镜产业委员会，加大专业教师及企业教师的招聘，升级各项专业教学设备，加大招生规模，为订单培养提供强有力的师资和设备保障。</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二、人才培养以企业为导向，努力培养优秀的“学生</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+员工”</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要解决人才供给与产业需求结构性矛盾，职业教育需要密集对接产业需求，学校眼视光专业按照“紧跟行业、紧跟企业、紧跟大师”的原则科学合理的设置课程，努力形成与余江眼镜产业园相适应的专业课程，制定出更加合理的教学模式及教学计划，加强学生实操能力，完美达成培养优秀的“学生+员工”目标。</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三、眼镜大师进校园上课，收徒，积极构建育人新桥梁</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学校始终检查要强化余江眼镜产业园的重要主体作用，支持引导余江眼镜产业园以多种方式参与学校眼视光专业的规划，教学，课程设置，实习实训，促进企业需求融入人才培养环节。</w:t>
      </w:r>
    </w:p>
    <w:p>
      <w:pPr>
        <w:pStyle w:val="1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740" w:lineRule="atLeast"/>
        <w:ind w:left="0" w:right="0" w:firstLine="860"/>
        <w:textAlignment w:val="baseline"/>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学校力求开放办学，着力为企业深度参与职业教育开拓空间，一是大师长期任教。二是企业名师定期做客。三是优化顶岗实习、企业见习、社会实践等多种实践方式，保证学生实践的针对性、及时性、前瞻性。并逐步形成师资队伍建设“走出去”和“请进来”并重的师资培养模式，更好的教育学生，育人成才，工学双优。</w:t>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57800" cy="3943350"/>
            <wp:effectExtent l="0" t="0" r="0" b="0"/>
            <wp:docPr id="16" name="图片 16" descr="眼视光实训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眼视光实训室"/>
                    <pic:cNvPicPr>
                      <a:picLocks noChangeAspect="1"/>
                    </pic:cNvPicPr>
                  </pic:nvPicPr>
                  <pic:blipFill>
                    <a:blip r:embed="rId30"/>
                    <a:stretch>
                      <a:fillRect/>
                    </a:stretch>
                  </pic:blipFill>
                  <pic:spPr>
                    <a:xfrm>
                      <a:off x="0" y="0"/>
                      <a:ext cx="5257800" cy="3943350"/>
                    </a:xfrm>
                    <a:prstGeom prst="rect">
                      <a:avLst/>
                    </a:prstGeom>
                  </pic:spPr>
                </pic:pic>
              </a:graphicData>
            </a:graphic>
          </wp:inline>
        </w:drawing>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64785" cy="3950335"/>
            <wp:effectExtent l="0" t="0" r="12065" b="12065"/>
            <wp:docPr id="17" name="图片 17" descr="眼视光理论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眼视光理论教学"/>
                    <pic:cNvPicPr>
                      <a:picLocks noChangeAspect="1"/>
                    </pic:cNvPicPr>
                  </pic:nvPicPr>
                  <pic:blipFill>
                    <a:blip r:embed="rId31"/>
                    <a:stretch>
                      <a:fillRect/>
                    </a:stretch>
                  </pic:blipFill>
                  <pic:spPr>
                    <a:xfrm>
                      <a:off x="0" y="0"/>
                      <a:ext cx="5264785" cy="3950335"/>
                    </a:xfrm>
                    <a:prstGeom prst="rect">
                      <a:avLst/>
                    </a:prstGeom>
                  </pic:spPr>
                </pic:pic>
              </a:graphicData>
            </a:graphic>
          </wp:inline>
        </w:drawing>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64785" cy="3950335"/>
            <wp:effectExtent l="0" t="0" r="12065" b="12065"/>
            <wp:docPr id="18" name="图片 18" descr="眼视光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眼视光设备"/>
                    <pic:cNvPicPr>
                      <a:picLocks noChangeAspect="1"/>
                    </pic:cNvPicPr>
                  </pic:nvPicPr>
                  <pic:blipFill>
                    <a:blip r:embed="rId32"/>
                    <a:stretch>
                      <a:fillRect/>
                    </a:stretch>
                  </pic:blipFill>
                  <pic:spPr>
                    <a:xfrm>
                      <a:off x="0" y="0"/>
                      <a:ext cx="5264785" cy="3950335"/>
                    </a:xfrm>
                    <a:prstGeom prst="rect">
                      <a:avLst/>
                    </a:prstGeom>
                  </pic:spPr>
                </pic:pic>
              </a:graphicData>
            </a:graphic>
          </wp:inline>
        </w:drawing>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64785" cy="3950335"/>
            <wp:effectExtent l="0" t="0" r="12065" b="12065"/>
            <wp:docPr id="19" name="图片 19" descr="眼视光专业图片技能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眼视光专业图片技能大赛"/>
                    <pic:cNvPicPr>
                      <a:picLocks noChangeAspect="1"/>
                    </pic:cNvPicPr>
                  </pic:nvPicPr>
                  <pic:blipFill>
                    <a:blip r:embed="rId33"/>
                    <a:stretch>
                      <a:fillRect/>
                    </a:stretch>
                  </pic:blipFill>
                  <pic:spPr>
                    <a:xfrm>
                      <a:off x="0" y="0"/>
                      <a:ext cx="5264785" cy="3950335"/>
                    </a:xfrm>
                    <a:prstGeom prst="rect">
                      <a:avLst/>
                    </a:prstGeom>
                  </pic:spPr>
                </pic:pic>
              </a:graphicData>
            </a:graphic>
          </wp:inline>
        </w:drawing>
      </w:r>
    </w:p>
    <w:p>
      <w:pPr>
        <w:rPr>
          <w:rFonts w:hint="eastAsia"/>
          <w:lang w:val="en-US" w:eastAsia="zh-CN"/>
        </w:rPr>
      </w:pPr>
      <w:r>
        <w:rPr>
          <w:rFonts w:hint="default" w:ascii="仿宋_GB2312" w:hAnsi="仿宋_GB2312" w:eastAsia="仿宋_GB2312" w:cs="仿宋_GB2312"/>
          <w:sz w:val="32"/>
          <w:szCs w:val="32"/>
          <w:lang w:val="en-US" w:eastAsia="zh-CN"/>
        </w:rPr>
        <w:drawing>
          <wp:inline distT="0" distB="0" distL="114300" distR="114300">
            <wp:extent cx="5245735" cy="3947160"/>
            <wp:effectExtent l="0" t="0" r="12065" b="15240"/>
            <wp:docPr id="20" name="图片 20" descr="余江眼镜园区-实习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余江眼镜园区-实习照片"/>
                    <pic:cNvPicPr>
                      <a:picLocks noChangeAspect="1"/>
                    </pic:cNvPicPr>
                  </pic:nvPicPr>
                  <pic:blipFill>
                    <a:blip r:embed="rId34"/>
                    <a:stretch>
                      <a:fillRect/>
                    </a:stretch>
                  </pic:blipFill>
                  <pic:spPr>
                    <a:xfrm>
                      <a:off x="0" y="0"/>
                      <a:ext cx="5245735" cy="3947160"/>
                    </a:xfrm>
                    <a:prstGeom prst="rect">
                      <a:avLst/>
                    </a:prstGeom>
                  </pic:spPr>
                </pic:pic>
              </a:graphicData>
            </a:graphic>
          </wp:inline>
        </w:drawing>
      </w:r>
    </w:p>
    <w:p>
      <w:pPr>
        <w:rPr>
          <w:rFonts w:hint="eastAsia"/>
          <w:lang w:val="en-US" w:eastAsia="zh-CN"/>
        </w:rPr>
      </w:pPr>
    </w:p>
    <w:p>
      <w:pPr>
        <w:pStyle w:val="5"/>
        <w:bidi w:val="0"/>
        <w:rPr>
          <w:rFonts w:hint="eastAsia" w:ascii="仿宋_GB2312" w:hAnsi="仿宋_GB2312" w:eastAsia="仿宋_GB2312" w:cs="仿宋_GB2312"/>
          <w:b/>
          <w:bCs/>
          <w:color w:val="0C0C0C"/>
          <w:kern w:val="0"/>
          <w:sz w:val="32"/>
          <w:szCs w:val="32"/>
          <w:lang w:val="en-US" w:eastAsia="zh-CN" w:bidi="ar-SA"/>
        </w:rPr>
      </w:pPr>
      <w:bookmarkStart w:id="73" w:name="_Toc28979"/>
      <w:r>
        <w:rPr>
          <w:rFonts w:hint="eastAsia" w:ascii="仿宋_GB2312" w:hAnsi="仿宋_GB2312" w:eastAsia="仿宋_GB2312" w:cs="仿宋_GB2312"/>
          <w:b/>
          <w:bCs/>
          <w:color w:val="0C0C0C"/>
          <w:kern w:val="0"/>
          <w:sz w:val="32"/>
          <w:szCs w:val="32"/>
          <w:lang w:val="en-US" w:eastAsia="zh-CN" w:bidi="ar-SA"/>
        </w:rPr>
        <w:t>5.2服务地方发展</w:t>
      </w:r>
      <w:bookmarkEnd w:id="73"/>
    </w:p>
    <w:p>
      <w:pPr>
        <w:rPr>
          <w:rFonts w:hint="eastAsia" w:ascii="仿宋_GB2312" w:hAnsi="仿宋_GB2312" w:eastAsia="仿宋_GB2312" w:cs="仿宋_GB2312"/>
          <w:b/>
          <w:bCs/>
          <w:i w:val="0"/>
          <w:iCs w:val="0"/>
          <w:caps w:val="0"/>
          <w:color w:val="333333"/>
          <w:spacing w:val="0"/>
          <w:sz w:val="32"/>
          <w:szCs w:val="32"/>
          <w:u w:val="none"/>
          <w:vertAlign w:val="baseline"/>
          <w:lang w:val="en-US" w:eastAsia="zh-CN"/>
        </w:rPr>
      </w:pPr>
      <w:r>
        <w:rPr>
          <w:rFonts w:hint="eastAsia" w:ascii="仿宋_GB2312" w:hAnsi="仿宋_GB2312" w:eastAsia="仿宋_GB2312" w:cs="仿宋_GB2312"/>
          <w:b w:val="0"/>
          <w:bCs w:val="0"/>
          <w:i w:val="0"/>
          <w:iCs w:val="0"/>
          <w:caps w:val="0"/>
          <w:color w:val="333333"/>
          <w:spacing w:val="0"/>
          <w:sz w:val="32"/>
          <w:szCs w:val="32"/>
          <w:u w:val="none"/>
          <w:vertAlign w:val="baseline"/>
        </w:rPr>
        <w:t>【案例</w:t>
      </w: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2</w:t>
      </w:r>
      <w:r>
        <w:rPr>
          <w:rFonts w:hint="eastAsia" w:ascii="仿宋_GB2312" w:hAnsi="仿宋_GB2312" w:eastAsia="仿宋_GB2312" w:cs="仿宋_GB2312"/>
          <w:b w:val="0"/>
          <w:bCs w:val="0"/>
          <w:i w:val="0"/>
          <w:iCs w:val="0"/>
          <w:caps w:val="0"/>
          <w:color w:val="333333"/>
          <w:spacing w:val="0"/>
          <w:sz w:val="32"/>
          <w:szCs w:val="32"/>
          <w:u w:val="none"/>
          <w:vertAlign w:val="baseline"/>
        </w:rPr>
        <w:t>】</w:t>
      </w:r>
      <w:r>
        <w:rPr>
          <w:rFonts w:hint="eastAsia" w:ascii="仿宋_GB2312" w:hAnsi="仿宋_GB2312" w:eastAsia="仿宋_GB2312" w:cs="仿宋_GB2312"/>
          <w:b/>
          <w:bCs/>
          <w:i w:val="0"/>
          <w:iCs w:val="0"/>
          <w:caps w:val="0"/>
          <w:color w:val="333333"/>
          <w:spacing w:val="0"/>
          <w:sz w:val="32"/>
          <w:szCs w:val="32"/>
          <w:u w:val="none"/>
          <w:vertAlign w:val="baseline"/>
          <w:lang w:val="en-US" w:eastAsia="zh-CN"/>
        </w:rPr>
        <w:t>助推地方经济发展、提供人才资源保障</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聚焦“作示范、勇争先”的目标要求，贯彻落实习近平总书记重要讲话重要指示批示精神和中央、省、市决策部署，</w:t>
      </w:r>
      <w:r>
        <w:rPr>
          <w:rFonts w:hint="eastAsia" w:ascii="仿宋_GB2312" w:hAnsi="仿宋_GB2312" w:eastAsia="仿宋_GB2312" w:cs="仿宋_GB2312"/>
          <w:i w:val="0"/>
          <w:iCs w:val="0"/>
          <w:caps w:val="0"/>
          <w:color w:val="000000" w:themeColor="text1"/>
          <w:spacing w:val="0"/>
          <w:sz w:val="32"/>
          <w:szCs w:val="32"/>
          <w:shd w:val="clear" w:fill="FFFFFF"/>
          <w14:textFill>
            <w14:solidFill>
              <w14:schemeClr w14:val="tx1"/>
            </w14:solidFill>
          </w14:textFill>
        </w:rPr>
        <w:t>以新时代“第一等的工作”，强力推动数字经济大发展、营商环境大提升，以实际行动为双“一号工程”增光添彩。</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根鹰潭应用工程学校在服务地方经济创新发展方面的落实情况，具体如下：</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一、优化专业设置，对口地方经济发展</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鹰潭市在重点打造以铜基新材料产业、电子信息（物联网）产业为主导产业，汽车配件制造产业、智慧光电产业、大健康产业等特色优势产业竞相发展的“2+N”现代化产业体系。推动主导产业双轮驱动。优化升级铜基新材料产业，大力发展电子信息用铜、新能源汽车用铜以及其他精深加工和循环经济为主的铜基新材料产业。培育壮大以物联网为主的电子信息产业，加快部署城乡一体化5G网络基础设施，加快推进电子信息（物联网）产业体系现代化进程，促进5G、物联网与实体经济深度融合。突出“链群配”，加快引进一批高科技、高效益、高附加值、带动性强的优质项目。我校根据鹰潭市经济发展及招商政策，强化数控、汽修、眼视光、计算机应用技术、物联网应用技术、电子商务等对口专业，为鹰潭铜产业加工，数字经济创新发展，培养更多更好的中等职业技术人才，服务地方企业，助推地方经济发展。</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二、深化校企合作，加大“订单班、冠名班”招生</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进一步探索校企合作，深化产教融合，鹰潭应用工程学校党委书记熊晖，党委副书记、校长甘露，副书记孙细华，副校长倪龙，副校长周筱明，区人大常委会副主任、工商联主席万文俊、区工商联、区就业局、锦江镇等领导同志十余次深入企业、协会展开调研、座谈。结合本地特色产业，紧密联系对接企业，对口建立可持续发展的七种类型的冠名班、订单班、现代学徒制班。目前已与锦江精密制造产业业协会、彩智科技、沃德尔科技、瑞源精密、余江雕刻产业协会、晶威眼镜、钱源眼镜、百盈光电等重点企业、行业协会进行了产教融合、校企合作。由园区、本地产业协会牵头与我校开展师资、专业共建，结合专业特色拟定符合实际的人才培养方案，共享师资，共同培养。在招生、订单班、政策服务、补助措施、课程设计、实训基地等方面完善了细节，让一系列政策举措落地生根，探索余江校企合作成功模式，促进余江教育持续健康发展，连续培养出专业化人才服务本地企业，带动本地经济高质量快速发展。学校坚持以就业为导向，积极开展"订单"式人才培养，大力推行校企合作、工学结合人才养模式，我校积极与企业合作开展订单培养，实现了学校招生与企业招工一体化。实现了招生与招工同步、与生产同步、实习与就业联体，实现了企业、学校、社会、学生的互利与共赢，如此能更好的解决落户企业招工难，招专业对口的基础工更难的问题，为助力地方经济发展带来更好的中等职业技术人才人力资源保障。</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三、做好顶岗实习工作，服务地方经济发展</w:t>
      </w:r>
    </w:p>
    <w:p>
      <w:pPr>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学校根据专业对口实习就业模式，加大数控专业招生，每年为余江精密产业园，沃德尔等精密制造业输送大量专业对口中等职业能能人才。</w:t>
      </w:r>
    </w:p>
    <w:p>
      <w:pPr>
        <w:ind w:firstLine="640" w:firstLineChars="200"/>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计算机专业，物联网等专业学生，对接本地电子产业园区，旅游管理，电子商贸等专业学生服务本地现代服务产业，助推地方经济发展。</w:t>
      </w:r>
    </w:p>
    <w:p>
      <w:pPr>
        <w:jc w:val="both"/>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5264785" cy="3947160"/>
            <wp:effectExtent l="0" t="0" r="12065" b="15240"/>
            <wp:docPr id="21" name="图片 21" descr="水晶光电-实习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水晶光电-实习照片"/>
                    <pic:cNvPicPr>
                      <a:picLocks noChangeAspect="1"/>
                    </pic:cNvPicPr>
                  </pic:nvPicPr>
                  <pic:blipFill>
                    <a:blip r:embed="rId35"/>
                    <a:stretch>
                      <a:fillRect/>
                    </a:stretch>
                  </pic:blipFill>
                  <pic:spPr>
                    <a:xfrm>
                      <a:off x="0" y="0"/>
                      <a:ext cx="5264785" cy="3947160"/>
                    </a:xfrm>
                    <a:prstGeom prst="rect">
                      <a:avLst/>
                    </a:prstGeom>
                  </pic:spPr>
                </pic:pic>
              </a:graphicData>
            </a:graphic>
          </wp:inline>
        </w:drawing>
      </w:r>
    </w:p>
    <w:p>
      <w:pP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5264785" cy="3947160"/>
            <wp:effectExtent l="0" t="0" r="12065" b="15240"/>
            <wp:docPr id="22" name="图片 22" descr="余江眼镜园区-实习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余江眼镜园区-实习照片"/>
                    <pic:cNvPicPr>
                      <a:picLocks noChangeAspect="1"/>
                    </pic:cNvPicPr>
                  </pic:nvPicPr>
                  <pic:blipFill>
                    <a:blip r:embed="rId36"/>
                    <a:stretch>
                      <a:fillRect/>
                    </a:stretch>
                  </pic:blipFill>
                  <pic:spPr>
                    <a:xfrm>
                      <a:off x="0" y="0"/>
                      <a:ext cx="5264785" cy="3947160"/>
                    </a:xfrm>
                    <a:prstGeom prst="rect">
                      <a:avLst/>
                    </a:prstGeom>
                  </pic:spPr>
                </pic:pic>
              </a:graphicData>
            </a:graphic>
          </wp:inline>
        </w:drawing>
      </w:r>
    </w:p>
    <w:p>
      <w:pP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pPr>
      <w: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5264785" cy="3947160"/>
            <wp:effectExtent l="0" t="0" r="12065" b="15240"/>
            <wp:docPr id="23" name="图片 23" descr="江西中诺新材料-实习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江西中诺新材料-实习照片"/>
                    <pic:cNvPicPr>
                      <a:picLocks noChangeAspect="1"/>
                    </pic:cNvPicPr>
                  </pic:nvPicPr>
                  <pic:blipFill>
                    <a:blip r:embed="rId37"/>
                    <a:stretch>
                      <a:fillRect/>
                    </a:stretch>
                  </pic:blipFill>
                  <pic:spPr>
                    <a:xfrm>
                      <a:off x="0" y="0"/>
                      <a:ext cx="5264785" cy="3947160"/>
                    </a:xfrm>
                    <a:prstGeom prst="rect">
                      <a:avLst/>
                    </a:prstGeom>
                  </pic:spPr>
                </pic:pic>
              </a:graphicData>
            </a:graphic>
          </wp:inline>
        </w:drawing>
      </w:r>
    </w:p>
    <w:p>
      <w:pPr>
        <w:rPr>
          <w:rFonts w:hint="eastAsia" w:ascii="仿宋_GB2312" w:hAnsi="仿宋_GB2312" w:eastAsia="仿宋_GB2312" w:cs="仿宋_GB2312"/>
          <w:b/>
          <w:bCs/>
          <w:i w:val="0"/>
          <w:iCs w:val="0"/>
          <w:caps w:val="0"/>
          <w:color w:val="333333"/>
          <w:spacing w:val="0"/>
          <w:sz w:val="32"/>
          <w:szCs w:val="32"/>
          <w:u w:val="none"/>
          <w:vertAlign w:val="baseline"/>
          <w:lang w:val="en-US" w:eastAsia="zh-CN"/>
        </w:rPr>
      </w:pPr>
      <w:r>
        <w:rPr>
          <w:rFonts w:hint="default" w:ascii="仿宋_GB2312" w:hAnsi="仿宋_GB2312" w:eastAsia="仿宋_GB2312" w:cs="仿宋_GB2312"/>
          <w:i w:val="0"/>
          <w:iCs w:val="0"/>
          <w:caps w:val="0"/>
          <w:color w:val="000000" w:themeColor="text1"/>
          <w:spacing w:val="0"/>
          <w:sz w:val="32"/>
          <w:szCs w:val="32"/>
          <w:shd w:val="clear" w:fill="FFFFFF"/>
          <w:lang w:val="en-US" w:eastAsia="zh-CN"/>
          <w14:textFill>
            <w14:solidFill>
              <w14:schemeClr w14:val="tx1"/>
            </w14:solidFill>
          </w14:textFill>
        </w:rPr>
        <w:drawing>
          <wp:inline distT="0" distB="0" distL="114300" distR="114300">
            <wp:extent cx="5264785" cy="3950335"/>
            <wp:effectExtent l="0" t="0" r="12065" b="12065"/>
            <wp:docPr id="24" name="图片 24" descr="彩智科技-实习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彩智科技-实习照片"/>
                    <pic:cNvPicPr>
                      <a:picLocks noChangeAspect="1"/>
                    </pic:cNvPicPr>
                  </pic:nvPicPr>
                  <pic:blipFill>
                    <a:blip r:embed="rId38"/>
                    <a:stretch>
                      <a:fillRect/>
                    </a:stretch>
                  </pic:blipFill>
                  <pic:spPr>
                    <a:xfrm>
                      <a:off x="0" y="0"/>
                      <a:ext cx="5264785" cy="3950335"/>
                    </a:xfrm>
                    <a:prstGeom prst="rect">
                      <a:avLst/>
                    </a:prstGeom>
                  </pic:spPr>
                </pic:pic>
              </a:graphicData>
            </a:graphic>
          </wp:inline>
        </w:drawing>
      </w:r>
    </w:p>
    <w:p>
      <w:pPr>
        <w:rPr>
          <w:rFonts w:hint="default"/>
          <w:lang w:val="en-US" w:eastAsia="zh-CN"/>
        </w:rPr>
      </w:pPr>
    </w:p>
    <w:p>
      <w:pPr>
        <w:pStyle w:val="5"/>
        <w:bidi w:val="0"/>
        <w:rPr>
          <w:rFonts w:hint="eastAsia" w:ascii="仿宋_GB2312" w:hAnsi="仿宋_GB2312" w:eastAsia="仿宋_GB2312" w:cs="仿宋_GB2312"/>
          <w:b/>
          <w:bCs/>
          <w:color w:val="0C0C0C"/>
          <w:kern w:val="0"/>
          <w:sz w:val="32"/>
          <w:szCs w:val="32"/>
          <w:lang w:val="en-US" w:eastAsia="zh-CN" w:bidi="ar-SA"/>
        </w:rPr>
      </w:pPr>
      <w:bookmarkStart w:id="74" w:name="_Toc29445"/>
      <w:r>
        <w:rPr>
          <w:rFonts w:hint="eastAsia" w:ascii="仿宋_GB2312" w:hAnsi="仿宋_GB2312" w:eastAsia="仿宋_GB2312" w:cs="仿宋_GB2312"/>
          <w:b/>
          <w:bCs/>
          <w:color w:val="0C0C0C"/>
          <w:kern w:val="0"/>
          <w:sz w:val="32"/>
          <w:szCs w:val="32"/>
          <w:lang w:val="en-US" w:eastAsia="zh-CN" w:bidi="ar-SA"/>
        </w:rPr>
        <w:t>5.3服务乡村振兴</w:t>
      </w:r>
      <w:bookmarkEnd w:id="74"/>
    </w:p>
    <w:p>
      <w:pPr>
        <w:ind w:firstLine="640" w:firstLineChars="200"/>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学校坚持“服务产业需求、服务经济建设、服务社会发展”的办学使命，高度重视对农民、脱贫户的培训，始终将其作为助力乡村振兴、服务社会的重要手段。今年，高素质农民培训、乡村振兴农业技术培训340余人。把培训班办到了老百姓的家门口，把技术指导送入到田间地头。通过理论授课、现场教学、互动研讨及线上学习相结合的方式，为学员们传授优质水稻栽培技术、病虫害综合防治、农产品电子商务与营销、农业企业经营管理等实用农业技能知识。致富先治心，为鼓励和扶持余江区脱贫户、三类人群就业、创业，学校先后到马荃、洪湖等地开展了农业技术培训，培训脱贫户50余人。全方位、零距离、面对面为脱贫户送政策、送理念、送技能，全力支持广大脱贫户创业，助力他们拓宽就业新空间。</w:t>
      </w:r>
    </w:p>
    <w:p>
      <w:pPr>
        <w:pStyle w:val="2"/>
        <w:ind w:firstLine="562"/>
        <w:jc w:val="center"/>
        <w:rPr>
          <w:rFonts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表10  2022年高素质农民培训情况表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1538"/>
        <w:gridCol w:w="3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期次</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培训人数</w:t>
            </w:r>
          </w:p>
        </w:tc>
        <w:tc>
          <w:tcPr>
            <w:tcW w:w="3063"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市级第一期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45</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2022年11月2日-5日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市级第二期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45</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2022年12月2日-5日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区级第一期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50</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2022年10月25日-28日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区级第二期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50</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2022年10月29日-11月1日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区级第三期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50</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2022年11月12日-15日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27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区级第四期</w:t>
            </w:r>
          </w:p>
        </w:tc>
        <w:tc>
          <w:tcPr>
            <w:tcW w:w="1538"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50</w:t>
            </w:r>
          </w:p>
        </w:tc>
        <w:tc>
          <w:tcPr>
            <w:tcW w:w="3063" w:type="dxa"/>
            <w:vAlign w:val="center"/>
          </w:tcPr>
          <w:p>
            <w:pPr>
              <w:pStyle w:val="2"/>
              <w:ind w:firstLine="0" w:firstLineChars="0"/>
              <w:jc w:val="left"/>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2022年12月6日-9日</w:t>
            </w:r>
          </w:p>
        </w:tc>
      </w:tr>
    </w:tbl>
    <w:p>
      <w:pPr>
        <w:pStyle w:val="2"/>
        <w:ind w:firstLine="562"/>
        <w:jc w:val="center"/>
        <w:rPr>
          <w:rFonts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表11 2022年乡村振兴脱贫户、三类人群农业技术培训</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0"/>
        <w:gridCol w:w="1385"/>
        <w:gridCol w:w="3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050"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地区</w:t>
            </w:r>
          </w:p>
        </w:tc>
        <w:tc>
          <w:tcPr>
            <w:tcW w:w="1385"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培训人数</w:t>
            </w:r>
          </w:p>
        </w:tc>
        <w:tc>
          <w:tcPr>
            <w:tcW w:w="3504"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050"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马荃镇</w:t>
            </w:r>
          </w:p>
        </w:tc>
        <w:tc>
          <w:tcPr>
            <w:tcW w:w="1385"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30</w:t>
            </w:r>
          </w:p>
        </w:tc>
        <w:tc>
          <w:tcPr>
            <w:tcW w:w="3504"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2022年12月14日-15日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050"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洪湖乡</w:t>
            </w:r>
          </w:p>
        </w:tc>
        <w:tc>
          <w:tcPr>
            <w:tcW w:w="1385"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21</w:t>
            </w:r>
          </w:p>
        </w:tc>
        <w:tc>
          <w:tcPr>
            <w:tcW w:w="3504"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2022年12月14日-15日</w:t>
            </w:r>
          </w:p>
        </w:tc>
      </w:tr>
    </w:tbl>
    <w:p>
      <w:pPr>
        <w:rPr>
          <w:rFonts w:hint="eastAsia" w:ascii="黑体" w:hAnsi="黑体" w:eastAsia="黑体" w:cs="黑体"/>
          <w:b/>
          <w:color w:val="333333"/>
          <w:kern w:val="0"/>
          <w:sz w:val="32"/>
          <w:szCs w:val="32"/>
        </w:rPr>
      </w:pPr>
    </w:p>
    <w:p>
      <w:pPr>
        <w:rPr>
          <w:rFonts w:hint="eastAsia" w:ascii="黑体" w:hAnsi="黑体" w:eastAsia="黑体" w:cs="黑体"/>
          <w:b/>
          <w:color w:val="333333"/>
          <w:kern w:val="0"/>
          <w:sz w:val="32"/>
          <w:szCs w:val="32"/>
        </w:rPr>
      </w:pPr>
      <w:r>
        <w:rPr>
          <w:rFonts w:hint="eastAsia" w:ascii="黑体" w:hAnsi="黑体" w:eastAsia="黑体" w:cs="黑体"/>
          <w:b/>
          <w:color w:val="333333"/>
          <w:kern w:val="0"/>
          <w:sz w:val="32"/>
          <w:szCs w:val="32"/>
        </w:rPr>
        <w:drawing>
          <wp:inline distT="0" distB="0" distL="0" distR="0">
            <wp:extent cx="5274310" cy="3956050"/>
            <wp:effectExtent l="0" t="0" r="2540" b="6350"/>
            <wp:docPr id="28" name="图片 9" descr="微信图片_2022120715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微信图片_20221207150325.jpg"/>
                    <pic:cNvPicPr>
                      <a:picLocks noChangeAspect="1"/>
                    </pic:cNvPicPr>
                  </pic:nvPicPr>
                  <pic:blipFill>
                    <a:blip r:embed="rId39" cstate="print"/>
                    <a:stretch>
                      <a:fillRect/>
                    </a:stretch>
                  </pic:blipFill>
                  <pic:spPr>
                    <a:xfrm>
                      <a:off x="0" y="0"/>
                      <a:ext cx="5274310" cy="3956050"/>
                    </a:xfrm>
                    <a:prstGeom prst="rect">
                      <a:avLst/>
                    </a:prstGeom>
                  </pic:spPr>
                </pic:pic>
              </a:graphicData>
            </a:graphic>
          </wp:inline>
        </w:drawing>
      </w:r>
    </w:p>
    <w:p>
      <w:pPr>
        <w:pStyle w:val="2"/>
        <w:ind w:firstLine="562"/>
        <w:jc w:val="cente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8</w:t>
      </w: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 xml:space="preserve">  区级第四期高素质农民培训</w:t>
      </w:r>
    </w:p>
    <w:p>
      <w:pPr>
        <w:jc w:val="center"/>
        <w:rPr>
          <w:rFonts w:hint="eastAsia"/>
        </w:rPr>
      </w:pPr>
      <w:r>
        <w:rPr>
          <w:rFonts w:hint="eastAsia"/>
        </w:rPr>
        <w:drawing>
          <wp:inline distT="0" distB="0" distL="0" distR="0">
            <wp:extent cx="5274310" cy="3957320"/>
            <wp:effectExtent l="0" t="0" r="2540" b="5080"/>
            <wp:docPr id="29" name="图片 12" descr="微信图片_202212130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descr="微信图片_20221213002322.jpg"/>
                    <pic:cNvPicPr>
                      <a:picLocks noChangeAspect="1"/>
                    </pic:cNvPicPr>
                  </pic:nvPicPr>
                  <pic:blipFill>
                    <a:blip r:embed="rId40" cstate="print"/>
                    <a:stretch>
                      <a:fillRect/>
                    </a:stretch>
                  </pic:blipFill>
                  <pic:spPr>
                    <a:xfrm>
                      <a:off x="0" y="0"/>
                      <a:ext cx="5274310" cy="3957320"/>
                    </a:xfrm>
                    <a:prstGeom prst="rect">
                      <a:avLst/>
                    </a:prstGeom>
                  </pic:spPr>
                </pic:pic>
              </a:graphicData>
            </a:graphic>
          </wp:inline>
        </w:drawing>
      </w:r>
    </w:p>
    <w:p>
      <w:pPr>
        <w:pStyle w:val="2"/>
        <w:ind w:firstLine="562"/>
        <w:jc w:val="cente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9</w:t>
      </w: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 xml:space="preserve">  高素质农民培训理论课</w:t>
      </w:r>
    </w:p>
    <w:p>
      <w:pPr>
        <w:rPr>
          <w:rFonts w:hint="eastAsia"/>
        </w:rPr>
      </w:pPr>
    </w:p>
    <w:p>
      <w:pPr>
        <w:pStyle w:val="2"/>
        <w:ind w:firstLine="0" w:firstLineChars="0"/>
        <w:rPr>
          <w:rFonts w:hint="eastAsia"/>
        </w:rPr>
      </w:pPr>
      <w:r>
        <w:rPr>
          <w:rFonts w:hint="eastAsia"/>
        </w:rPr>
        <w:drawing>
          <wp:inline distT="0" distB="0" distL="0" distR="0">
            <wp:extent cx="5274310" cy="3956050"/>
            <wp:effectExtent l="0" t="0" r="2540" b="6350"/>
            <wp:docPr id="30" name="图片 10" descr="微信图片_2022120715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微信图片_20221207150338.jpg"/>
                    <pic:cNvPicPr>
                      <a:picLocks noChangeAspect="1"/>
                    </pic:cNvPicPr>
                  </pic:nvPicPr>
                  <pic:blipFill>
                    <a:blip r:embed="rId41" cstate="print"/>
                    <a:stretch>
                      <a:fillRect/>
                    </a:stretch>
                  </pic:blipFill>
                  <pic:spPr>
                    <a:xfrm>
                      <a:off x="0" y="0"/>
                      <a:ext cx="5274310" cy="3956050"/>
                    </a:xfrm>
                    <a:prstGeom prst="rect">
                      <a:avLst/>
                    </a:prstGeom>
                  </pic:spPr>
                </pic:pic>
              </a:graphicData>
            </a:graphic>
          </wp:inline>
        </w:drawing>
      </w:r>
    </w:p>
    <w:p>
      <w:pPr>
        <w:pStyle w:val="2"/>
        <w:ind w:firstLine="562"/>
        <w:jc w:val="cente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10</w:t>
      </w:r>
      <w:r>
        <w:rPr>
          <w:rFonts w:hint="eastAsia" w:ascii="宋体" w:hAnsi="宋体" w:eastAsia="宋体" w:cs="宋体"/>
          <w:color w:val="1F4E79"/>
          <w:spacing w:val="-5"/>
          <w:kern w:val="2"/>
          <w:sz w:val="21"/>
          <w:szCs w:val="21"/>
          <w:lang w:val="en-US" w:eastAsia="zh-CN" w:bidi="ar-SA"/>
          <w14:textOutline w14:w="3835" w14:cap="flat" w14:cmpd="sng">
            <w14:solidFill>
              <w14:srgbClr w14:val="1F4E79"/>
            </w14:solidFill>
            <w14:prstDash w14:val="solid"/>
            <w14:miter w14:val="0"/>
          </w14:textOutline>
        </w:rPr>
        <w:t xml:space="preserve">  高素质农民培训基地实训</w:t>
      </w:r>
    </w:p>
    <w:p>
      <w:pPr>
        <w:rPr>
          <w:rFonts w:hint="eastAsia"/>
        </w:rPr>
      </w:pPr>
    </w:p>
    <w:p>
      <w:pPr>
        <w:pStyle w:val="2"/>
        <w:ind w:left="0" w:leftChars="0" w:firstLine="0" w:firstLineChars="0"/>
        <w:rPr>
          <w:rFonts w:hint="eastAsia"/>
        </w:rPr>
      </w:pPr>
      <w:r>
        <w:rPr>
          <w:rFonts w:hint="eastAsia"/>
        </w:rPr>
        <w:drawing>
          <wp:inline distT="0" distB="0" distL="0" distR="0">
            <wp:extent cx="5274310" cy="3956050"/>
            <wp:effectExtent l="0" t="0" r="2540" b="6350"/>
            <wp:docPr id="31" name="图片 14" descr="微信图片_2022123011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descr="微信图片_20221230111059.jpg"/>
                    <pic:cNvPicPr>
                      <a:picLocks noChangeAspect="1"/>
                    </pic:cNvPicPr>
                  </pic:nvPicPr>
                  <pic:blipFill>
                    <a:blip r:embed="rId42" cstate="print"/>
                    <a:stretch>
                      <a:fillRect/>
                    </a:stretch>
                  </pic:blipFill>
                  <pic:spPr>
                    <a:xfrm>
                      <a:off x="0" y="0"/>
                      <a:ext cx="5274310" cy="3956050"/>
                    </a:xfrm>
                    <a:prstGeom prst="rect">
                      <a:avLst/>
                    </a:prstGeom>
                  </pic:spPr>
                </pic:pic>
              </a:graphicData>
            </a:graphic>
          </wp:inline>
        </w:drawing>
      </w:r>
    </w:p>
    <w:p>
      <w:pPr>
        <w:spacing w:before="209" w:line="221" w:lineRule="auto"/>
        <w:ind w:left="784"/>
        <w:jc w:val="center"/>
        <w:rPr>
          <w:rFonts w:hint="eastAsia" w:ascii="宋体" w:hAnsi="宋体" w:eastAsia="宋体" w:cs="宋体"/>
          <w:color w:val="1F4E79"/>
          <w:spacing w:val="-5"/>
          <w:sz w:val="21"/>
          <w:szCs w:val="21"/>
          <w14:textOutline w14:w="3835" w14:cap="flat" w14:cmpd="sng">
            <w14:solidFill>
              <w14:srgbClr w14:val="1F4E79"/>
            </w14:solidFill>
            <w14:prstDash w14:val="solid"/>
            <w14:miter w14:val="0"/>
          </w14:textOutline>
        </w:rPr>
      </w:pPr>
      <w:r>
        <w:rPr>
          <w:rFonts w:hint="eastAsia" w:ascii="宋体" w:hAnsi="宋体" w:eastAsia="宋体" w:cs="宋体"/>
          <w:color w:val="1F4E79"/>
          <w:spacing w:val="-5"/>
          <w:sz w:val="21"/>
          <w:szCs w:val="21"/>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5"/>
          <w:sz w:val="21"/>
          <w:szCs w:val="21"/>
          <w:lang w:val="en-US" w:eastAsia="zh-CN"/>
          <w14:textOutline w14:w="3835" w14:cap="flat" w14:cmpd="sng">
            <w14:solidFill>
              <w14:srgbClr w14:val="1F4E79"/>
            </w14:solidFill>
            <w14:prstDash w14:val="solid"/>
            <w14:miter w14:val="0"/>
          </w14:textOutline>
        </w:rPr>
        <w:t>11</w:t>
      </w:r>
      <w:r>
        <w:rPr>
          <w:rFonts w:hint="eastAsia" w:ascii="宋体" w:hAnsi="宋体" w:eastAsia="宋体" w:cs="宋体"/>
          <w:color w:val="1F4E79"/>
          <w:spacing w:val="-5"/>
          <w:sz w:val="21"/>
          <w:szCs w:val="21"/>
          <w14:textOutline w14:w="3835" w14:cap="flat" w14:cmpd="sng">
            <w14:solidFill>
              <w14:srgbClr w14:val="1F4E79"/>
            </w14:solidFill>
            <w14:prstDash w14:val="solid"/>
            <w14:miter w14:val="0"/>
          </w14:textOutline>
        </w:rPr>
        <w:t xml:space="preserve">  乡村振兴脱贫户、三类人群农业技术培训</w:t>
      </w:r>
    </w:p>
    <w:p>
      <w:pPr>
        <w:rPr>
          <w:rFonts w:hint="eastAsia"/>
        </w:rPr>
      </w:pPr>
    </w:p>
    <w:p>
      <w:pPr>
        <w:pStyle w:val="5"/>
        <w:bidi w:val="0"/>
        <w:rPr>
          <w:rFonts w:hint="eastAsia" w:ascii="仿宋_GB2312" w:hAnsi="仿宋_GB2312" w:eastAsia="仿宋_GB2312" w:cs="仿宋_GB2312"/>
          <w:b/>
          <w:bCs/>
          <w:color w:val="0C0C0C"/>
          <w:kern w:val="0"/>
          <w:sz w:val="32"/>
          <w:szCs w:val="32"/>
          <w:lang w:val="en-US" w:eastAsia="zh-CN" w:bidi="ar-SA"/>
        </w:rPr>
      </w:pPr>
      <w:bookmarkStart w:id="75" w:name="_Toc26412"/>
      <w:r>
        <w:rPr>
          <w:rFonts w:hint="eastAsia" w:ascii="仿宋_GB2312" w:hAnsi="仿宋_GB2312" w:eastAsia="仿宋_GB2312" w:cs="仿宋_GB2312"/>
          <w:b/>
          <w:bCs/>
          <w:color w:val="0C0C0C"/>
          <w:kern w:val="0"/>
          <w:sz w:val="32"/>
          <w:szCs w:val="32"/>
          <w:lang w:val="en-US" w:eastAsia="zh-CN" w:bidi="ar-SA"/>
        </w:rPr>
        <w:t>5.4服务地方社区</w:t>
      </w:r>
      <w:bookmarkEnd w:id="75"/>
    </w:p>
    <w:p>
      <w:pPr>
        <w:pStyle w:val="14"/>
        <w:shd w:val="clear" w:color="auto" w:fill="FFFFFF"/>
        <w:spacing w:before="0" w:beforeAutospacing="0" w:after="0" w:afterAutospacing="0" w:line="240" w:lineRule="atLeast"/>
        <w:ind w:firstLine="672" w:firstLineChars="200"/>
        <w:jc w:val="both"/>
        <w:rPr>
          <w:rFonts w:hint="default" w:ascii="仿宋_GB2312" w:hAnsi="仿宋_GB2312" w:eastAsia="仿宋_GB2312" w:cs="仿宋_GB2312"/>
          <w:color w:val="222222"/>
          <w:spacing w:val="8"/>
          <w:sz w:val="32"/>
          <w:szCs w:val="32"/>
          <w:shd w:val="clear" w:color="auto" w:fill="FFFFFF"/>
        </w:rPr>
      </w:pPr>
      <w:r>
        <w:rPr>
          <w:rFonts w:ascii="仿宋_GB2312" w:hAnsi="仿宋_GB2312" w:eastAsia="仿宋_GB2312" w:cs="仿宋_GB2312"/>
          <w:color w:val="222222"/>
          <w:spacing w:val="8"/>
          <w:sz w:val="32"/>
          <w:szCs w:val="32"/>
          <w:shd w:val="clear" w:color="auto" w:fill="FFFFFF"/>
        </w:rPr>
        <w:t>在党的二十大报告中，明确提出“加强困难群体就业兜底帮扶”“促进残疾人事业全面发展”的目标任务。</w:t>
      </w:r>
    </w:p>
    <w:p>
      <w:pPr>
        <w:pStyle w:val="14"/>
        <w:shd w:val="clear" w:color="auto" w:fill="FFFFFF"/>
        <w:spacing w:before="0" w:beforeAutospacing="0" w:after="0" w:afterAutospacing="0" w:line="240" w:lineRule="atLeast"/>
        <w:ind w:firstLine="672" w:firstLineChars="200"/>
        <w:jc w:val="both"/>
        <w:rPr>
          <w:rFonts w:hint="default" w:ascii="仿宋_GB2312" w:hAnsi="仿宋_GB2312" w:eastAsia="仿宋_GB2312" w:cs="仿宋_GB2312"/>
          <w:color w:val="222222"/>
          <w:spacing w:val="8"/>
          <w:sz w:val="32"/>
          <w:szCs w:val="32"/>
          <w:shd w:val="clear" w:color="auto" w:fill="FFFFFF"/>
        </w:rPr>
      </w:pPr>
      <w:r>
        <w:rPr>
          <w:rFonts w:ascii="仿宋_GB2312" w:hAnsi="仿宋_GB2312" w:eastAsia="仿宋_GB2312" w:cs="仿宋_GB2312"/>
          <w:color w:val="222222"/>
          <w:spacing w:val="8"/>
          <w:sz w:val="32"/>
          <w:szCs w:val="32"/>
          <w:shd w:val="clear" w:color="auto" w:fill="FFFFFF"/>
        </w:rPr>
        <w:t>为把大会的精神和要求落实到推动余江区残疾人事业全面发展的实际行动中去，进一步培养残疾人劳动技能，提升残疾人自主创业、自主就业的能力，增强残疾人群体的幸福感、获得感，助力幸福江西建设。为进一步提高残疾人创业、就业能力，更好地帮助残疾人就业，学校多次与鹰潭市残联、余江区残联洽谈残疾人就业培训合作事宜。积极探索建立既适应市场需求又符合残疾人特点的就业培训体系，为残疾人再学习、再就业提供更多、更优的学习服务。11月8日，余江区残疾人民生工程暨实用技术培训班在鹰潭维也纳酒店正式开班，全区70余名残疾人参加培训。此次培训由余江区残联主办，鹰潭应用工程学校承办，培训内容为眼视光与配镜知识。通过培训，进一步提高了残疾人的劳动能力，坚定了他们参与社会、建设家乡的信心。</w:t>
      </w:r>
    </w:p>
    <w:p>
      <w:pPr>
        <w:pStyle w:val="14"/>
        <w:shd w:val="clear" w:color="auto" w:fill="FFFFFF"/>
        <w:spacing w:before="0" w:beforeAutospacing="0" w:after="0" w:afterAutospacing="0" w:line="240" w:lineRule="atLeast"/>
        <w:jc w:val="both"/>
        <w:rPr>
          <w:rStyle w:val="18"/>
          <w:rFonts w:hint="default" w:ascii="仿宋_GB2312" w:hAnsi="仿宋_GB2312" w:eastAsia="仿宋_GB2312" w:cs="仿宋_GB2312"/>
          <w:b w:val="0"/>
          <w:bCs/>
          <w:spacing w:val="8"/>
          <w:sz w:val="32"/>
          <w:szCs w:val="32"/>
          <w:shd w:val="clear" w:color="auto" w:fill="FFFFFF"/>
        </w:rPr>
      </w:pPr>
      <w:r>
        <w:drawing>
          <wp:inline distT="0" distB="0" distL="0" distR="0">
            <wp:extent cx="4836795" cy="3543300"/>
            <wp:effectExtent l="0" t="0" r="1905" b="0"/>
            <wp:docPr id="32" name="图片 32" descr="fa05fa8c619baf2a8ca6d6326818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a05fa8c619baf2a8ca6d632681826f"/>
                    <pic:cNvPicPr>
                      <a:picLocks noChangeAspect="1" noChangeArrowheads="1"/>
                    </pic:cNvPicPr>
                  </pic:nvPicPr>
                  <pic:blipFill>
                    <a:blip r:embed="rId43" cstate="print">
                      <a:lum bright="32000" contrast="30000"/>
                    </a:blip>
                    <a:srcRect/>
                    <a:stretch>
                      <a:fillRect/>
                    </a:stretch>
                  </pic:blipFill>
                  <pic:spPr>
                    <a:xfrm>
                      <a:off x="0" y="0"/>
                      <a:ext cx="4836795" cy="3543586"/>
                    </a:xfrm>
                    <a:prstGeom prst="rect">
                      <a:avLst/>
                    </a:prstGeom>
                    <a:noFill/>
                    <a:ln w="9525">
                      <a:noFill/>
                      <a:miter lim="800000"/>
                      <a:headEnd/>
                      <a:tailEnd/>
                    </a:ln>
                    <a:effectLst/>
                  </pic:spPr>
                </pic:pic>
              </a:graphicData>
            </a:graphic>
          </wp:inline>
        </w:drawing>
      </w:r>
    </w:p>
    <w:p>
      <w:pPr>
        <w:pStyle w:val="14"/>
        <w:shd w:val="clear" w:color="auto" w:fill="FFFFFF"/>
        <w:spacing w:before="0" w:beforeAutospacing="0" w:after="0" w:afterAutospacing="0" w:line="240" w:lineRule="atLeast"/>
        <w:ind w:firstLine="404" w:firstLineChars="200"/>
        <w:jc w:val="center"/>
        <w:rPr>
          <w:rStyle w:val="18"/>
          <w:rFonts w:hint="default" w:ascii="仿宋_GB2312" w:hAnsi="仿宋_GB2312" w:eastAsia="仿宋_GB2312" w:cs="仿宋_GB2312"/>
          <w:bCs/>
          <w:spacing w:val="8"/>
          <w:sz w:val="28"/>
          <w:szCs w:val="28"/>
          <w:shd w:val="clear" w:color="auto" w:fill="FFFFFF"/>
        </w:rPr>
      </w:pP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12</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残疾人培训开班仪式</w:t>
      </w:r>
    </w:p>
    <w:p>
      <w:pPr>
        <w:pStyle w:val="14"/>
        <w:shd w:val="clear" w:color="auto" w:fill="FFFFFF"/>
        <w:spacing w:before="0" w:beforeAutospacing="0" w:after="0" w:afterAutospacing="0" w:line="240" w:lineRule="atLeast"/>
        <w:jc w:val="center"/>
        <w:rPr>
          <w:rFonts w:hint="default"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Style w:val="18"/>
          <w:rFonts w:ascii="仿宋_GB2312" w:hAnsi="仿宋_GB2312" w:eastAsia="仿宋_GB2312" w:cs="仿宋_GB2312"/>
          <w:bCs/>
          <w:spacing w:val="8"/>
          <w:shd w:val="clear" w:color="auto" w:fill="FFFFFF"/>
        </w:rPr>
        <w:drawing>
          <wp:inline distT="0" distB="0" distL="114300" distR="114300">
            <wp:extent cx="4874895" cy="3657600"/>
            <wp:effectExtent l="0" t="0" r="1905" b="0"/>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44" cstate="print"/>
                    <a:stretch>
                      <a:fillRect/>
                    </a:stretch>
                  </pic:blipFill>
                  <pic:spPr>
                    <a:xfrm>
                      <a:off x="0" y="0"/>
                      <a:ext cx="4874895" cy="3657600"/>
                    </a:xfrm>
                    <a:prstGeom prst="rect">
                      <a:avLst/>
                    </a:prstGeom>
                  </pic:spPr>
                </pic:pic>
              </a:graphicData>
            </a:graphic>
          </wp:inline>
        </w:drawing>
      </w:r>
      <w:r>
        <w:rPr>
          <w:rStyle w:val="18"/>
          <w:rFonts w:ascii="仿宋_GB2312" w:hAnsi="仿宋_GB2312" w:eastAsia="仿宋_GB2312" w:cs="仿宋_GB2312"/>
          <w:bCs/>
          <w:spacing w:val="8"/>
          <w:shd w:val="clear" w:color="auto" w:fill="FFFFFF"/>
        </w:rPr>
        <w:t xml:space="preserve">   </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13</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视力残疾预防与康复教育</w:t>
      </w:r>
    </w:p>
    <w:p>
      <w:pPr>
        <w:pStyle w:val="14"/>
        <w:shd w:val="clear" w:color="auto" w:fill="FFFFFF"/>
        <w:spacing w:before="0" w:beforeAutospacing="0" w:after="0" w:afterAutospacing="0" w:line="240" w:lineRule="atLeast"/>
        <w:jc w:val="center"/>
        <w:rPr>
          <w:rStyle w:val="18"/>
          <w:rFonts w:hint="default" w:ascii="仿宋_GB2312" w:hAnsi="仿宋_GB2312" w:eastAsia="仿宋_GB2312" w:cs="仿宋_GB2312"/>
          <w:bCs/>
          <w:spacing w:val="8"/>
          <w:shd w:val="clear" w:color="auto" w:fill="FFFFFF"/>
        </w:rPr>
      </w:pPr>
    </w:p>
    <w:p>
      <w:pPr>
        <w:pStyle w:val="14"/>
        <w:shd w:val="clear" w:color="auto" w:fill="FFFFFF"/>
        <w:spacing w:before="0" w:beforeAutospacing="0" w:after="0" w:afterAutospacing="0" w:line="240" w:lineRule="atLeast"/>
        <w:jc w:val="center"/>
        <w:rPr>
          <w:rStyle w:val="18"/>
          <w:rFonts w:hint="default" w:ascii="仿宋_GB2312" w:hAnsi="仿宋_GB2312" w:eastAsia="仿宋_GB2312" w:cs="仿宋_GB2312"/>
          <w:bCs/>
          <w:spacing w:val="8"/>
          <w:shd w:val="clear" w:color="auto" w:fill="FFFFFF"/>
        </w:rPr>
      </w:pPr>
    </w:p>
    <w:p>
      <w:pPr>
        <w:pStyle w:val="14"/>
        <w:shd w:val="clear" w:color="auto" w:fill="FFFFFF"/>
        <w:spacing w:before="0" w:beforeAutospacing="0" w:after="0" w:afterAutospacing="0" w:line="240" w:lineRule="atLeast"/>
        <w:jc w:val="both"/>
        <w:rPr>
          <w:rStyle w:val="18"/>
          <w:rFonts w:hint="default" w:ascii="仿宋_GB2312" w:hAnsi="仿宋_GB2312" w:eastAsia="仿宋_GB2312" w:cs="仿宋_GB2312"/>
          <w:bCs/>
          <w:spacing w:val="8"/>
          <w:shd w:val="clear" w:color="auto" w:fill="FFFFFF"/>
        </w:rPr>
      </w:pPr>
    </w:p>
    <w:p>
      <w:pPr>
        <w:pStyle w:val="14"/>
        <w:shd w:val="clear" w:color="auto" w:fill="FFFFFF"/>
        <w:spacing w:before="0" w:beforeAutospacing="0" w:after="0" w:afterAutospacing="0" w:line="240" w:lineRule="atLeast"/>
        <w:jc w:val="cente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cs="宋体"/>
          <w:b/>
          <w:bCs/>
          <w:sz w:val="32"/>
          <w:szCs w:val="32"/>
        </w:rPr>
        <w:drawing>
          <wp:inline distT="0" distB="0" distL="0" distR="0">
            <wp:extent cx="4924425" cy="3663315"/>
            <wp:effectExtent l="0" t="0" r="9525" b="13335"/>
            <wp:docPr id="34" name="图片 54" descr="微信图片_2022111016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4" descr="微信图片_202211101643051"/>
                    <pic:cNvPicPr>
                      <a:picLocks noChangeAspect="1" noChangeArrowheads="1"/>
                    </pic:cNvPicPr>
                  </pic:nvPicPr>
                  <pic:blipFill>
                    <a:blip r:embed="rId45" cstate="print"/>
                    <a:srcRect/>
                    <a:stretch>
                      <a:fillRect/>
                    </a:stretch>
                  </pic:blipFill>
                  <pic:spPr>
                    <a:xfrm>
                      <a:off x="0" y="0"/>
                      <a:ext cx="4924425" cy="3663315"/>
                    </a:xfrm>
                    <a:prstGeom prst="rect">
                      <a:avLst/>
                    </a:prstGeom>
                    <a:noFill/>
                    <a:ln w="9525" cmpd="sng">
                      <a:noFill/>
                      <a:miter lim="800000"/>
                      <a:headEnd/>
                      <a:tailEnd/>
                    </a:ln>
                  </pic:spPr>
                </pic:pic>
              </a:graphicData>
            </a:graphic>
          </wp:inline>
        </w:drawing>
      </w:r>
      <w:r>
        <w:rPr>
          <w:rStyle w:val="18"/>
          <w:rFonts w:ascii="仿宋_GB2312" w:hAnsi="仿宋_GB2312" w:eastAsia="仿宋_GB2312" w:cs="仿宋_GB2312"/>
          <w:bCs/>
          <w:spacing w:val="8"/>
          <w:sz w:val="28"/>
          <w:szCs w:val="28"/>
          <w:shd w:val="clear" w:color="auto" w:fill="FFFFFF"/>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图14</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球镜度数及散光度数验光实训</w:t>
      </w:r>
    </w:p>
    <w:p>
      <w:pPr>
        <w:ind w:firstLine="480" w:firstLineChars="150"/>
        <w:jc w:val="left"/>
        <w:rPr>
          <w:rFonts w:ascii="仿宋_GB2312" w:hAnsi="仿宋_GB2312" w:eastAsia="仿宋_GB2312" w:cs="仿宋_GB2312"/>
          <w:b/>
          <w:color w:val="000000" w:themeColor="text1"/>
          <w:sz w:val="28"/>
          <w:szCs w:val="28"/>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学校特聘教师宋智勇开展地方特色课程—“传统工艺雕刻”，培训学员40余人，宋老师以理论与实践相结合的授课方式，紧紧围绕地方产业服务大力弘扬劳模精神、工匠精神，营造劳动光荣的社会风尚、精益求精的敬业风气和人人皆可成才、人人尽展其才的浓厚氛围，为本次地方特色课程培育优质的技能人才。</w:t>
      </w:r>
      <w:r>
        <w:rPr>
          <w:rStyle w:val="18"/>
          <w:rFonts w:ascii="仿宋_GB2312" w:eastAsia="仿宋_GB2312"/>
          <w:bCs/>
          <w:spacing w:val="8"/>
          <w:sz w:val="28"/>
          <w:szCs w:val="28"/>
          <w:shd w:val="clear" w:color="auto" w:fill="FFFFFF"/>
        </w:rPr>
        <w:t xml:space="preserve"> </w:t>
      </w:r>
      <w:r>
        <w:rPr>
          <w:rFonts w:ascii="仿宋_GB2312" w:hAnsi="仿宋_GB2312" w:eastAsia="仿宋_GB2312" w:cs="仿宋_GB2312"/>
          <w:b/>
          <w:color w:val="000000" w:themeColor="text1"/>
          <w:sz w:val="28"/>
          <w:szCs w:val="28"/>
          <w14:textFill>
            <w14:solidFill>
              <w14:schemeClr w14:val="tx1"/>
            </w14:solidFill>
          </w14:textFill>
        </w:rPr>
        <w:drawing>
          <wp:inline distT="0" distB="0" distL="114300" distR="114300">
            <wp:extent cx="5136515" cy="3807460"/>
            <wp:effectExtent l="0" t="0" r="6985" b="2540"/>
            <wp:docPr id="35" name="图片 3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3"/>
                    <pic:cNvPicPr>
                      <a:picLocks noChangeAspect="1"/>
                    </pic:cNvPicPr>
                  </pic:nvPicPr>
                  <pic:blipFill>
                    <a:blip r:embed="rId46" cstate="print"/>
                    <a:stretch>
                      <a:fillRect/>
                    </a:stretch>
                  </pic:blipFill>
                  <pic:spPr>
                    <a:xfrm>
                      <a:off x="0" y="0"/>
                      <a:ext cx="5136515" cy="3807460"/>
                    </a:xfrm>
                    <a:prstGeom prst="rect">
                      <a:avLst/>
                    </a:prstGeom>
                  </pic:spPr>
                </pic:pic>
              </a:graphicData>
            </a:graphic>
          </wp:inline>
        </w:drawing>
      </w:r>
      <w:r>
        <w:rPr>
          <w:rFonts w:hint="eastAsia" w:ascii="仿宋_GB2312" w:hAnsi="仿宋_GB2312" w:eastAsia="仿宋_GB2312" w:cs="仿宋_GB2312"/>
          <w:b/>
          <w:color w:val="000000" w:themeColor="text1"/>
          <w:sz w:val="28"/>
          <w:szCs w:val="28"/>
          <w14:textFill>
            <w14:solidFill>
              <w14:schemeClr w14:val="tx1"/>
            </w14:solidFill>
          </w14:textFill>
        </w:rPr>
        <w:t xml:space="preserve">                    </w:t>
      </w:r>
    </w:p>
    <w:p>
      <w:pPr>
        <w:spacing w:before="161" w:line="221" w:lineRule="auto"/>
        <w:jc w:val="cente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pP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15</w:t>
      </w:r>
      <w:r>
        <w:rPr>
          <w:rFonts w:ascii="宋体" w:hAnsi="宋体" w:eastAsia="宋体" w:cs="宋体"/>
          <w:color w:val="1F4E79"/>
          <w:spacing w:val="-4"/>
          <w:sz w:val="21"/>
          <w:szCs w:val="21"/>
          <w14:textOutline w14:w="3835" w14:cap="flat" w14:cmpd="sng">
            <w14:solidFill>
              <w14:srgbClr w14:val="1F4E79"/>
            </w14:solidFill>
            <w14:prstDash w14:val="solid"/>
            <w14:miter w14:val="0"/>
          </w14:textOutline>
        </w:rPr>
        <w:t xml:space="preserve"> 宋老师讲解</w:t>
      </w:r>
    </w:p>
    <w:p>
      <w:pPr>
        <w:rPr>
          <w:rFonts w:eastAsia="Microsoft YaHei UI"/>
        </w:rPr>
      </w:pPr>
    </w:p>
    <w:p>
      <w:pPr>
        <w:pStyle w:val="14"/>
        <w:shd w:val="clear" w:color="auto" w:fill="FFFFFF"/>
        <w:spacing w:before="0" w:beforeAutospacing="0" w:after="0" w:afterAutospacing="0" w:line="240" w:lineRule="atLeast"/>
        <w:jc w:val="center"/>
        <w:rPr>
          <w:rFonts w:hint="default"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ascii="仿宋_GB2312" w:hAnsi="仿宋_GB2312" w:eastAsia="仿宋_GB2312" w:cs="仿宋_GB2312"/>
          <w:b/>
          <w:color w:val="000000" w:themeColor="text1"/>
          <w:sz w:val="28"/>
          <w:szCs w:val="28"/>
          <w14:textFill>
            <w14:solidFill>
              <w14:schemeClr w14:val="tx1"/>
            </w14:solidFill>
          </w14:textFill>
        </w:rPr>
        <w:t xml:space="preserve"> </w:t>
      </w:r>
      <w:r>
        <w:rPr>
          <w:rFonts w:ascii="仿宋_GB2312" w:hAnsi="仿宋_GB2312" w:eastAsia="仿宋_GB2312" w:cs="仿宋_GB2312"/>
          <w:b/>
          <w:color w:val="000000" w:themeColor="text1"/>
          <w:sz w:val="28"/>
          <w:szCs w:val="28"/>
          <w14:textFill>
            <w14:solidFill>
              <w14:schemeClr w14:val="tx1"/>
            </w14:solidFill>
          </w14:textFill>
        </w:rPr>
        <w:drawing>
          <wp:inline distT="0" distB="0" distL="114300" distR="114300">
            <wp:extent cx="5104765" cy="3757295"/>
            <wp:effectExtent l="0" t="0" r="635" b="14605"/>
            <wp:docPr id="36" name="图片 3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4"/>
                    <pic:cNvPicPr>
                      <a:picLocks noChangeAspect="1"/>
                    </pic:cNvPicPr>
                  </pic:nvPicPr>
                  <pic:blipFill>
                    <a:blip r:embed="rId47" cstate="print"/>
                    <a:stretch>
                      <a:fillRect/>
                    </a:stretch>
                  </pic:blipFill>
                  <pic:spPr>
                    <a:xfrm>
                      <a:off x="0" y="0"/>
                      <a:ext cx="5104765" cy="3757295"/>
                    </a:xfrm>
                    <a:prstGeom prst="rect">
                      <a:avLst/>
                    </a:prstGeom>
                  </pic:spPr>
                </pic:pic>
              </a:graphicData>
            </a:graphic>
          </wp:inline>
        </w:drawing>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16</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宋老师讲解</w:t>
      </w:r>
    </w:p>
    <w:p>
      <w:pPr>
        <w:pStyle w:val="14"/>
        <w:shd w:val="clear" w:color="auto" w:fill="FFFFFF"/>
        <w:spacing w:before="0" w:beforeAutospacing="0" w:after="0" w:afterAutospacing="0" w:line="240" w:lineRule="atLeast"/>
        <w:jc w:val="center"/>
        <w:rPr>
          <w:rFonts w:hint="default"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ascii="仿宋_GB2312" w:hAnsi="仿宋_GB2312" w:eastAsia="仿宋_GB2312" w:cs="仿宋_GB2312"/>
          <w:b/>
          <w:color w:val="000000" w:themeColor="text1"/>
          <w:sz w:val="28"/>
          <w:szCs w:val="28"/>
          <w14:textFill>
            <w14:solidFill>
              <w14:schemeClr w14:val="tx1"/>
            </w14:solidFill>
          </w14:textFill>
        </w:rPr>
        <w:drawing>
          <wp:inline distT="0" distB="0" distL="114300" distR="114300">
            <wp:extent cx="5196840" cy="3728085"/>
            <wp:effectExtent l="0" t="0" r="3810" b="5715"/>
            <wp:docPr id="37" name="图片 3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5"/>
                    <pic:cNvPicPr>
                      <a:picLocks noChangeAspect="1"/>
                    </pic:cNvPicPr>
                  </pic:nvPicPr>
                  <pic:blipFill>
                    <a:blip r:embed="rId48" cstate="print"/>
                    <a:stretch>
                      <a:fillRect/>
                    </a:stretch>
                  </pic:blipFill>
                  <pic:spPr>
                    <a:xfrm>
                      <a:off x="0" y="0"/>
                      <a:ext cx="5196840" cy="3728085"/>
                    </a:xfrm>
                    <a:prstGeom prst="rect">
                      <a:avLst/>
                    </a:prstGeom>
                  </pic:spPr>
                </pic:pic>
              </a:graphicData>
            </a:graphic>
          </wp:inline>
        </w:drawing>
      </w:r>
      <w:r>
        <w:rPr>
          <w:rFonts w:ascii="仿宋_GB2312" w:hAnsi="仿宋_GB2312" w:eastAsia="仿宋_GB2312" w:cs="仿宋_GB2312"/>
          <w:b/>
          <w:color w:val="000000" w:themeColor="text1"/>
          <w:sz w:val="28"/>
          <w:szCs w:val="28"/>
          <w14:textFill>
            <w14:solidFill>
              <w14:schemeClr w14:val="tx1"/>
            </w14:solidFill>
          </w14:textFill>
        </w:rPr>
        <w:t xml:space="preserve"> </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17</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学员动手操作</w:t>
      </w:r>
    </w:p>
    <w:p>
      <w:pPr>
        <w:pStyle w:val="14"/>
        <w:shd w:val="clear" w:color="auto" w:fill="FFFFFF"/>
        <w:wordWrap w:val="0"/>
        <w:spacing w:before="0" w:beforeAutospacing="0" w:after="45" w:afterAutospacing="0" w:line="360" w:lineRule="atLeast"/>
        <w:ind w:firstLine="420"/>
        <w:jc w:val="center"/>
        <w:rPr>
          <w:rFonts w:hint="default" w:ascii="仿宋_GB2312" w:hAnsi="仿宋_GB2312" w:eastAsia="仿宋_GB2312" w:cs="仿宋_GB2312"/>
          <w:color w:val="000000" w:themeColor="text1"/>
          <w:kern w:val="2"/>
          <w:sz w:val="32"/>
          <w:szCs w:val="32"/>
          <w14:textFill>
            <w14:solidFill>
              <w14:schemeClr w14:val="tx1"/>
            </w14:solidFill>
          </w14:textFill>
        </w:rPr>
      </w:pPr>
      <w:r>
        <w:rPr>
          <w:rFonts w:hint="default" w:ascii="仿宋_GB2312" w:hAnsi="仿宋_GB2312" w:eastAsia="仿宋_GB2312" w:cs="仿宋_GB2312"/>
          <w:color w:val="000000" w:themeColor="text1"/>
          <w:kern w:val="2"/>
          <w:sz w:val="32"/>
          <w:szCs w:val="32"/>
          <w14:textFill>
            <w14:solidFill>
              <w14:schemeClr w14:val="tx1"/>
            </w14:solidFill>
          </w14:textFill>
        </w:rPr>
        <w:t>为切实增强学校学生就业创业意识，提升学生创新创业热情和能力，</w:t>
      </w:r>
      <w:r>
        <w:rPr>
          <w:rFonts w:ascii="仿宋_GB2312" w:hAnsi="仿宋_GB2312" w:eastAsia="仿宋_GB2312" w:cs="仿宋_GB2312"/>
          <w:color w:val="000000" w:themeColor="text1"/>
          <w:kern w:val="2"/>
          <w:sz w:val="32"/>
          <w:szCs w:val="32"/>
          <w14:textFill>
            <w14:solidFill>
              <w14:schemeClr w14:val="tx1"/>
            </w14:solidFill>
          </w14:textFill>
        </w:rPr>
        <w:t>2022年，学校职业培训中心共举办了四十期</w:t>
      </w:r>
      <w:r>
        <w:rPr>
          <w:rFonts w:hint="default" w:ascii="仿宋_GB2312" w:hAnsi="仿宋_GB2312" w:eastAsia="仿宋_GB2312" w:cs="仿宋_GB2312"/>
          <w:color w:val="000000" w:themeColor="text1"/>
          <w:kern w:val="2"/>
          <w:sz w:val="32"/>
          <w:szCs w:val="32"/>
          <w14:textFill>
            <w14:solidFill>
              <w14:schemeClr w14:val="tx1"/>
            </w14:solidFill>
          </w14:textFill>
        </w:rPr>
        <w:t>GYB创业培训</w:t>
      </w:r>
      <w:r>
        <w:rPr>
          <w:rFonts w:ascii="仿宋_GB2312" w:hAnsi="仿宋_GB2312" w:eastAsia="仿宋_GB2312" w:cs="仿宋_GB2312"/>
          <w:color w:val="000000" w:themeColor="text1"/>
          <w:kern w:val="2"/>
          <w:sz w:val="32"/>
          <w:szCs w:val="32"/>
          <w14:textFill>
            <w14:solidFill>
              <w14:schemeClr w14:val="tx1"/>
            </w14:solidFill>
          </w14:textFill>
        </w:rPr>
        <w:t xml:space="preserve">，对1200余名学生开展了创业能力培训。   </w:t>
      </w:r>
      <w:r>
        <w:rPr>
          <w:rFonts w:ascii="仿宋_GB2312" w:hAnsi="仿宋_GB2312" w:eastAsia="仿宋_GB2312" w:cs="仿宋_GB2312"/>
          <w:color w:val="000000" w:themeColor="text1"/>
          <w:kern w:val="2"/>
          <w:sz w:val="32"/>
          <w:szCs w:val="32"/>
          <w14:textFill>
            <w14:solidFill>
              <w14:schemeClr w14:val="tx1"/>
            </w14:solidFill>
          </w14:textFill>
        </w:rPr>
        <w:drawing>
          <wp:inline distT="0" distB="0" distL="114300" distR="114300">
            <wp:extent cx="5179695" cy="3085465"/>
            <wp:effectExtent l="0" t="0" r="1905" b="635"/>
            <wp:docPr id="38" name="图片 38" descr="微信图片_2022123010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21230102432"/>
                    <pic:cNvPicPr>
                      <a:picLocks noChangeAspect="1"/>
                    </pic:cNvPicPr>
                  </pic:nvPicPr>
                  <pic:blipFill>
                    <a:blip r:embed="rId49" cstate="print"/>
                    <a:stretch>
                      <a:fillRect/>
                    </a:stretch>
                  </pic:blipFill>
                  <pic:spPr>
                    <a:xfrm>
                      <a:off x="0" y="0"/>
                      <a:ext cx="5179695" cy="3085465"/>
                    </a:xfrm>
                    <a:prstGeom prst="rect">
                      <a:avLst/>
                    </a:prstGeom>
                  </pic:spPr>
                </pic:pic>
              </a:graphicData>
            </a:graphic>
          </wp:inline>
        </w:drawing>
      </w:r>
    </w:p>
    <w:p>
      <w:pPr>
        <w:pStyle w:val="14"/>
        <w:shd w:val="clear" w:color="auto" w:fill="FFFFFF"/>
        <w:wordWrap w:val="0"/>
        <w:spacing w:before="0" w:beforeAutospacing="0" w:after="45" w:afterAutospacing="0" w:line="360" w:lineRule="atLeast"/>
        <w:ind w:firstLine="420"/>
        <w:jc w:val="cente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18</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第28期GYB创业培训</w:t>
      </w:r>
    </w:p>
    <w:p>
      <w:pPr>
        <w:pStyle w:val="14"/>
        <w:shd w:val="clear" w:color="auto" w:fill="FFFFFF"/>
        <w:wordWrap w:val="0"/>
        <w:spacing w:before="0" w:beforeAutospacing="0" w:after="45" w:afterAutospacing="0" w:line="360" w:lineRule="atLeast"/>
        <w:jc w:val="cente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hint="eastAsia" w:ascii="仿宋_GB2312" w:hAnsi="仿宋_GB2312" w:eastAsia="仿宋_GB2312" w:cs="仿宋_GB2312"/>
          <w:b/>
          <w:color w:val="000000" w:themeColor="text1"/>
          <w:kern w:val="2"/>
          <w:sz w:val="28"/>
          <w:szCs w:val="28"/>
          <w:lang w:eastAsia="zh-CN"/>
          <w14:textFill>
            <w14:solidFill>
              <w14:schemeClr w14:val="tx1"/>
            </w14:solidFill>
          </w14:textFill>
        </w:rPr>
        <w:drawing>
          <wp:inline distT="0" distB="0" distL="114300" distR="114300">
            <wp:extent cx="5327015" cy="3489960"/>
            <wp:effectExtent l="0" t="0" r="6985" b="15240"/>
            <wp:docPr id="39" name="图片 39" descr="微信图片_2022123012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21230120802"/>
                    <pic:cNvPicPr>
                      <a:picLocks noChangeAspect="1"/>
                    </pic:cNvPicPr>
                  </pic:nvPicPr>
                  <pic:blipFill>
                    <a:blip r:embed="rId50"/>
                    <a:stretch>
                      <a:fillRect/>
                    </a:stretch>
                  </pic:blipFill>
                  <pic:spPr>
                    <a:xfrm>
                      <a:off x="0" y="0"/>
                      <a:ext cx="5327015" cy="3489960"/>
                    </a:xfrm>
                    <a:prstGeom prst="rect">
                      <a:avLst/>
                    </a:prstGeom>
                  </pic:spPr>
                </pic:pic>
              </a:graphicData>
            </a:graphic>
          </wp:inline>
        </w:drawing>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18</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第</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32</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期GYB创业培训</w:t>
      </w:r>
    </w:p>
    <w:p>
      <w:pPr>
        <w:pStyle w:val="14"/>
        <w:shd w:val="clear" w:color="auto" w:fill="FFFFFF"/>
        <w:wordWrap w:val="0"/>
        <w:spacing w:before="0" w:beforeAutospacing="0" w:after="45" w:afterAutospacing="0" w:line="360" w:lineRule="atLeast"/>
        <w:jc w:val="both"/>
        <w:rPr>
          <w:rFonts w:hint="eastAsia" w:ascii="仿宋_GB2312" w:hAnsi="仿宋_GB2312" w:eastAsia="仿宋_GB2312" w:cs="仿宋_GB2312"/>
          <w:b/>
          <w:color w:val="000000" w:themeColor="text1"/>
          <w:kern w:val="2"/>
          <w:sz w:val="28"/>
          <w:szCs w:val="28"/>
          <w:lang w:eastAsia="zh-CN"/>
          <w14:textFill>
            <w14:solidFill>
              <w14:schemeClr w14:val="tx1"/>
            </w14:solidFill>
          </w14:textFill>
        </w:rPr>
      </w:pPr>
    </w:p>
    <w:p>
      <w:pPr>
        <w:pStyle w:val="14"/>
        <w:shd w:val="clear" w:color="auto" w:fill="FFFFFF"/>
        <w:wordWrap w:val="0"/>
        <w:spacing w:before="0" w:beforeAutospacing="0" w:after="45" w:afterAutospacing="0" w:line="360" w:lineRule="atLeast"/>
        <w:ind w:firstLine="420"/>
        <w:jc w:val="center"/>
        <w:rPr>
          <w:rFonts w:hint="default" w:ascii="仿宋_GB2312" w:hAnsi="仿宋_GB2312" w:eastAsia="仿宋_GB2312" w:cs="仿宋_GB2312"/>
          <w:color w:val="000000" w:themeColor="text1"/>
          <w:kern w:val="2"/>
          <w:sz w:val="32"/>
          <w:szCs w:val="32"/>
          <w14:textFill>
            <w14:solidFill>
              <w14:schemeClr w14:val="tx1"/>
            </w14:solidFill>
          </w14:textFill>
        </w:rPr>
      </w:pP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表</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12</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2022年GYB创业培训情况表</w:t>
      </w:r>
    </w:p>
    <w:tbl>
      <w:tblPr>
        <w:tblStyle w:val="16"/>
        <w:tblW w:w="73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2187"/>
        <w:gridCol w:w="3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2185"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期次</w:t>
            </w:r>
          </w:p>
        </w:tc>
        <w:tc>
          <w:tcPr>
            <w:tcW w:w="2187"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培训人数</w:t>
            </w:r>
          </w:p>
        </w:tc>
        <w:tc>
          <w:tcPr>
            <w:tcW w:w="3014" w:type="dxa"/>
            <w:vAlign w:val="center"/>
          </w:tcPr>
          <w:p>
            <w:pPr>
              <w:pStyle w:val="2"/>
              <w:ind w:firstLine="0" w:firstLineChars="0"/>
              <w:jc w:val="center"/>
              <w:rPr>
                <w:rFonts w:ascii="仿宋_GB2312" w:hAnsi="仿宋_GB2312" w:eastAsia="仿宋_GB2312" w:cs="仿宋_GB2312"/>
                <w:color w:val="000000"/>
                <w:szCs w:val="21"/>
              </w:rPr>
            </w:pPr>
            <w:r>
              <w:rPr>
                <w:rFonts w:hint="eastAsia" w:ascii="仿宋_GB2312" w:hAnsi="仿宋_GB2312" w:eastAsia="仿宋_GB2312" w:cs="仿宋_GB2312"/>
                <w:color w:val="000000"/>
                <w:szCs w:val="21"/>
              </w:rPr>
              <w:t>培训时间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85"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月湖区第一期</w:t>
            </w:r>
          </w:p>
        </w:tc>
        <w:tc>
          <w:tcPr>
            <w:tcW w:w="2187"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2022年5月17号--19号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月湖区第二期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2022年5月17号--19号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月湖区第三期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2022年5月17号--19号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月湖区第四期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2022年5月17号--19号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高新区第一期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高新区第二期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高新区第三期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高新区第四期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余江区第一期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余江区第三期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余江区第四期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2022年3月8号--10号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余江区第五期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2022年3月21号--23号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余江区第六期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2022年3月21号--23号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余江区第七期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2022年3月21号--23号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余江区第八期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2022年3月21号--23号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余江区第九期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余江区第十一期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余江区第十三期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余江区第十四期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2022年5月10号--12号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余江区第十五期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2022年10月31号--11月2号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余江区第十六期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2022年10月31号--11月2号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余江区第十七期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2022年10月31号--11月2号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余江区第十八期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2022年10月31号--11月2号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余江区第十九期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2022年11月3号--5号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pStyle w:val="14"/>
              <w:wordWrap w:val="0"/>
              <w:spacing w:before="0" w:beforeAutospacing="0" w:after="45" w:afterAutospacing="0" w:line="360" w:lineRule="atLeast"/>
              <w:jc w:val="center"/>
              <w:rPr>
                <w:rFonts w:hint="default" w:ascii="仿宋_GB2312" w:hAnsi="仿宋_GB2312" w:eastAsia="仿宋_GB2312" w:cs="仿宋_GB2312"/>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余江区第二十期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2022年11月3号--5号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Fonts w:ascii="仿宋_GB2312" w:hAnsi="仿宋_GB2312" w:eastAsia="仿宋_GB2312" w:cs="仿宋_GB2312"/>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余江区第二十一期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2022年11月3号--5号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Fonts w:ascii="仿宋_GB2312" w:hAnsi="仿宋_GB2312" w:eastAsia="仿宋_GB2312" w:cs="仿宋_GB2312"/>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2022年11月3号--5号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Fonts w:ascii="仿宋_GB2312" w:hAnsi="仿宋_GB2312" w:eastAsia="仿宋_GB2312" w:cs="仿宋_GB2312"/>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余江区第二十三期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2022年11月6号--8号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Fonts w:ascii="仿宋_GB2312" w:hAnsi="仿宋_GB2312" w:eastAsia="仿宋_GB2312" w:cs="仿宋_GB2312"/>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余江区第二十四期</w:t>
            </w:r>
          </w:p>
        </w:tc>
        <w:tc>
          <w:tcPr>
            <w:tcW w:w="2187"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2022年11月6号--8号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余江区第二十五期</w:t>
            </w:r>
          </w:p>
        </w:tc>
        <w:tc>
          <w:tcPr>
            <w:tcW w:w="2187" w:type="dxa"/>
          </w:tcPr>
          <w:p>
            <w:pPr>
              <w:pStyle w:val="14"/>
              <w:wordWrap w:val="0"/>
              <w:spacing w:before="0" w:beforeAutospacing="0" w:after="45" w:afterAutospacing="0" w:line="360" w:lineRule="atLeast"/>
              <w:jc w:val="center"/>
              <w:rPr>
                <w:rStyle w:val="18"/>
                <w:rFonts w:hint="default" w:ascii="仿宋_GB2312" w:hAnsi="仿宋_GB2312" w:eastAsia="仿宋_GB2312" w:cs="仿宋_GB2312"/>
                <w:b w:val="0"/>
                <w:color w:val="000000" w:themeColor="text1"/>
                <w:kern w:val="2"/>
                <w:sz w:val="21"/>
                <w:szCs w:val="21"/>
                <w14:textFill>
                  <w14:solidFill>
                    <w14:schemeClr w14:val="tx1"/>
                  </w14:solidFill>
                </w14:textFill>
              </w:rPr>
            </w:pPr>
            <w:r>
              <w:rPr>
                <w:rStyle w:val="18"/>
                <w:rFonts w:ascii="仿宋_GB2312" w:hAnsi="仿宋_GB2312" w:eastAsia="仿宋_GB2312" w:cs="仿宋_GB2312"/>
                <w:b w:val="0"/>
                <w:color w:val="000000" w:themeColor="text1"/>
                <w:kern w:val="2"/>
                <w:sz w:val="2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2022年11月6号--8号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余江区第二十六期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2022年11月6号--8号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余江区第二十七期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2022年11月9号--11号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余江区第二十八期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2022年11月9号--11号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余江区第二十九期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2022年11月9号--11号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余江区第三十期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2022年11月9号--11号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余江区第三十一期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2022年11月12号--14号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185"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余江区第三十二期</w:t>
            </w:r>
          </w:p>
        </w:tc>
        <w:tc>
          <w:tcPr>
            <w:tcW w:w="2187" w:type="dxa"/>
          </w:tcPr>
          <w:p>
            <w:pPr>
              <w:wordWrap w:val="0"/>
              <w:spacing w:after="45" w:line="360" w:lineRule="atLeast"/>
              <w:jc w:val="center"/>
              <w:rPr>
                <w:rStyle w:val="18"/>
                <w:rFonts w:ascii="仿宋_GB2312" w:hAnsi="仿宋_GB2312" w:eastAsia="仿宋_GB2312" w:cs="仿宋_GB2312"/>
                <w:b w:val="0"/>
                <w:color w:val="000000" w:themeColor="text1"/>
                <w:szCs w:val="21"/>
                <w14:textFill>
                  <w14:solidFill>
                    <w14:schemeClr w14:val="tx1"/>
                  </w14:solidFill>
                </w14:textFill>
              </w:rPr>
            </w:pPr>
            <w:r>
              <w:rPr>
                <w:rStyle w:val="18"/>
                <w:rFonts w:hint="eastAsia" w:ascii="仿宋_GB2312" w:hAnsi="仿宋_GB2312" w:eastAsia="仿宋_GB2312" w:cs="仿宋_GB2312"/>
                <w:b w:val="0"/>
                <w:color w:val="000000" w:themeColor="text1"/>
                <w:szCs w:val="21"/>
                <w14:textFill>
                  <w14:solidFill>
                    <w14:schemeClr w14:val="tx1"/>
                  </w14:solidFill>
                </w14:textFill>
              </w:rPr>
              <w:t>30</w:t>
            </w:r>
          </w:p>
        </w:tc>
        <w:tc>
          <w:tcPr>
            <w:tcW w:w="3014" w:type="dxa"/>
            <w:vAlign w:val="top"/>
          </w:tcPr>
          <w:p>
            <w:pPr>
              <w:pStyle w:val="14"/>
              <w:wordWrap w:val="0"/>
              <w:spacing w:before="0" w:beforeAutospacing="0" w:after="45" w:afterAutospacing="0" w:line="360" w:lineRule="atLeast"/>
              <w:jc w:val="center"/>
              <w:rPr>
                <w:rFonts w:hint="default" w:ascii="仿宋_GB2312" w:hAnsi="仿宋_GB2312" w:eastAsia="仿宋_GB2312" w:cs="仿宋_GB2312"/>
                <w:b w:val="0"/>
                <w:color w:val="000000" w:themeColor="text1"/>
                <w:kern w:val="2"/>
                <w:sz w:val="21"/>
                <w:szCs w:val="21"/>
                <w:vertAlign w:val="baseline"/>
                <w:lang w:val="en-US" w:eastAsia="zh-CN" w:bidi="ar-SA"/>
                <w14:textFill>
                  <w14:solidFill>
                    <w14:schemeClr w14:val="tx1"/>
                  </w14:solidFill>
                </w14:textFill>
              </w:rPr>
            </w:pPr>
            <w:r>
              <w:rPr>
                <w:rStyle w:val="18"/>
                <w:rFonts w:hint="eastAsia" w:ascii="仿宋_GB2312" w:hAnsi="仿宋_GB2312" w:eastAsia="仿宋_GB2312" w:cs="仿宋_GB2312"/>
                <w:b w:val="0"/>
                <w:color w:val="000000" w:themeColor="text1"/>
                <w:kern w:val="2"/>
                <w:sz w:val="21"/>
                <w:szCs w:val="21"/>
                <w:vertAlign w:val="baseline"/>
                <w:lang w:val="en-US" w:eastAsia="zh-CN"/>
                <w14:textFill>
                  <w14:solidFill>
                    <w14:schemeClr w14:val="tx1"/>
                  </w14:solidFill>
                </w14:textFill>
              </w:rPr>
              <w:t>2022年11月12号--14号</w:t>
            </w:r>
          </w:p>
        </w:tc>
      </w:tr>
    </w:tbl>
    <w:p>
      <w:pPr>
        <w:pStyle w:val="14"/>
        <w:shd w:val="clear" w:color="auto" w:fill="FFFFFF"/>
        <w:wordWrap w:val="0"/>
        <w:spacing w:before="0" w:beforeAutospacing="0" w:after="45" w:afterAutospacing="0" w:line="360" w:lineRule="atLeast"/>
        <w:ind w:firstLine="420"/>
        <w:rPr>
          <w:rStyle w:val="18"/>
          <w:rFonts w:hint="default" w:ascii="仿宋_GB2312" w:hAnsi="仿宋_GB2312" w:eastAsia="仿宋_GB2312" w:cs="仿宋_GB2312"/>
          <w:b w:val="0"/>
          <w:color w:val="000000" w:themeColor="text1"/>
          <w:kern w:val="2"/>
          <w:sz w:val="32"/>
          <w:szCs w:val="32"/>
          <w14:textFill>
            <w14:solidFill>
              <w14:schemeClr w14:val="tx1"/>
            </w14:solidFill>
          </w14:textFill>
        </w:rPr>
      </w:pPr>
    </w:p>
    <w:p>
      <w:pPr>
        <w:pStyle w:val="14"/>
        <w:shd w:val="clear" w:color="auto" w:fill="FFFFFF"/>
        <w:spacing w:before="0" w:beforeAutospacing="0" w:after="0" w:afterAutospacing="0" w:line="240" w:lineRule="atLeast"/>
        <w:ind w:firstLine="672" w:firstLineChars="200"/>
        <w:jc w:val="both"/>
        <w:rPr>
          <w:rFonts w:hint="default" w:ascii="仿宋_GB2312" w:hAnsi="仿宋_GB2312" w:eastAsia="仿宋_GB2312" w:cs="仿宋_GB2312"/>
          <w:color w:val="000000"/>
          <w:kern w:val="2"/>
          <w:sz w:val="32"/>
          <w:szCs w:val="32"/>
        </w:rPr>
      </w:pPr>
      <w:r>
        <w:rPr>
          <w:rStyle w:val="18"/>
          <w:rFonts w:ascii="仿宋_GB2312" w:hAnsi="仿宋_GB2312" w:eastAsia="仿宋_GB2312" w:cs="仿宋_GB2312"/>
          <w:b w:val="0"/>
          <w:bCs/>
          <w:spacing w:val="8"/>
          <w:sz w:val="32"/>
          <w:szCs w:val="32"/>
          <w:shd w:val="clear" w:color="auto" w:fill="FFFFFF"/>
        </w:rPr>
        <w:t>今年，获批成立了余江开放学院，与鹰潭应用工程学校合署办公。充分利用鹰潭应用工程学校多年的职业教育经验和优势，为学员提供更为广阔的学习空间，更加舒适的学习环境，更为优质的网上教学资源，更加先进的教学设备和理念。与鹰潭开放大学签订了推进一体化建设协议，按照“共商、共建、共治、共享、共赢”的原则和“统筹规划、分级办学、分级管理、分工合作、协调联动”的运行模式，紧密合作，进一步提升开放大学教育教学质量。开设专业有：专科起点本科专业汉语言文学（师范方向）、计算机</w:t>
      </w:r>
      <w:r>
        <w:rPr>
          <w:rFonts w:ascii="仿宋_GB2312" w:hAnsi="仿宋_GB2312" w:eastAsia="仿宋_GB2312" w:cs="仿宋_GB2312"/>
          <w:color w:val="000000"/>
          <w:kern w:val="2"/>
          <w:sz w:val="32"/>
          <w:szCs w:val="32"/>
        </w:rPr>
        <w:t>科学与技术，专科专业学前教育、电子商务、大数据技术。今年秋季，进行了首期招生。</w:t>
      </w:r>
    </w:p>
    <w:p>
      <w:pPr>
        <w:pStyle w:val="14"/>
        <w:shd w:val="clear" w:color="auto" w:fill="FFFFFF"/>
        <w:spacing w:before="0" w:beforeAutospacing="0" w:after="0" w:afterAutospacing="0" w:line="240" w:lineRule="atLeast"/>
        <w:jc w:val="cente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ascii="仿宋_GB2312" w:hAnsi="仿宋_GB2312" w:eastAsia="仿宋_GB2312" w:cs="仿宋_GB2312"/>
          <w:color w:val="000000"/>
          <w:kern w:val="2"/>
          <w:sz w:val="32"/>
          <w:szCs w:val="32"/>
        </w:rPr>
        <w:drawing>
          <wp:inline distT="0" distB="0" distL="114300" distR="114300">
            <wp:extent cx="5266690" cy="3950335"/>
            <wp:effectExtent l="0" t="0" r="10160" b="12065"/>
            <wp:docPr id="40" name="图片 40" descr="微信图片_2022123010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21230102125"/>
                    <pic:cNvPicPr>
                      <a:picLocks noChangeAspect="1"/>
                    </pic:cNvPicPr>
                  </pic:nvPicPr>
                  <pic:blipFill>
                    <a:blip r:embed="rId51" cstate="print"/>
                    <a:stretch>
                      <a:fillRect/>
                    </a:stretch>
                  </pic:blipFill>
                  <pic:spPr>
                    <a:xfrm>
                      <a:off x="0" y="0"/>
                      <a:ext cx="5266690" cy="3950335"/>
                    </a:xfrm>
                    <a:prstGeom prst="rect">
                      <a:avLst/>
                    </a:prstGeom>
                  </pic:spPr>
                </pic:pic>
              </a:graphicData>
            </a:graphic>
          </wp:inline>
        </w:drawing>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w:t>
      </w: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20</w:t>
      </w:r>
      <w:r>
        <w:rPr>
          <w:rFonts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 xml:space="preserve"> 市（区）级开放学院推进一体化建设</w:t>
      </w:r>
    </w:p>
    <w:p>
      <w:pPr>
        <w:pStyle w:val="5"/>
        <w:bidi w:val="0"/>
        <w:rPr>
          <w:rFonts w:hint="eastAsia" w:ascii="仿宋_GB2312" w:hAnsi="仿宋_GB2312" w:eastAsia="仿宋_GB2312" w:cs="仿宋_GB2312"/>
          <w:b/>
          <w:bCs/>
          <w:color w:val="0C0C0C"/>
          <w:kern w:val="0"/>
          <w:sz w:val="32"/>
          <w:szCs w:val="32"/>
          <w:lang w:val="en-US" w:eastAsia="zh-CN" w:bidi="ar-SA"/>
        </w:rPr>
      </w:pPr>
      <w:bookmarkStart w:id="76" w:name="_Toc29649"/>
      <w:r>
        <w:rPr>
          <w:rFonts w:hint="eastAsia" w:ascii="仿宋_GB2312" w:hAnsi="仿宋_GB2312" w:eastAsia="仿宋_GB2312" w:cs="仿宋_GB2312"/>
          <w:b/>
          <w:bCs/>
          <w:color w:val="0C0C0C"/>
          <w:kern w:val="0"/>
          <w:sz w:val="32"/>
          <w:szCs w:val="32"/>
          <w:lang w:val="en-US" w:eastAsia="zh-CN" w:bidi="ar-SA"/>
        </w:rPr>
        <w:t>5.5具有地域特色的服务</w:t>
      </w:r>
      <w:bookmarkEnd w:id="76"/>
    </w:p>
    <w:p>
      <w:pPr>
        <w:pStyle w:val="14"/>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auto"/>
        <w:rPr>
          <w:rFonts w:hint="eastAsia" w:ascii="仿宋_GB2312" w:hAnsi="仿宋_GB2312" w:eastAsia="仿宋_GB2312" w:cs="仿宋_GB2312"/>
          <w:color w:val="222222"/>
          <w:spacing w:val="8"/>
          <w:sz w:val="32"/>
          <w:szCs w:val="32"/>
          <w:shd w:val="clear" w:color="auto" w:fill="FFFFFF"/>
          <w:lang w:eastAsia="zh-CN" w:bidi="ar-SA"/>
        </w:rPr>
      </w:pPr>
      <w:r>
        <w:rPr>
          <w:rFonts w:hint="eastAsia" w:ascii="仿宋_GB2312" w:hAnsi="仿宋_GB2312" w:eastAsia="仿宋_GB2312" w:cs="仿宋_GB2312"/>
          <w:b w:val="0"/>
          <w:bCs w:val="0"/>
          <w:i w:val="0"/>
          <w:iCs w:val="0"/>
          <w:caps w:val="0"/>
          <w:color w:val="333333"/>
          <w:spacing w:val="0"/>
          <w:sz w:val="32"/>
          <w:szCs w:val="32"/>
          <w:u w:val="none"/>
          <w:vertAlign w:val="baseline"/>
        </w:rPr>
        <w:t>【案例</w:t>
      </w:r>
      <w:r>
        <w:rPr>
          <w:rFonts w:hint="eastAsia" w:ascii="仿宋_GB2312" w:hAnsi="仿宋_GB2312" w:eastAsia="仿宋_GB2312" w:cs="仿宋_GB2312"/>
          <w:b w:val="0"/>
          <w:bCs w:val="0"/>
          <w:i w:val="0"/>
          <w:iCs w:val="0"/>
          <w:caps w:val="0"/>
          <w:color w:val="333333"/>
          <w:spacing w:val="0"/>
          <w:sz w:val="32"/>
          <w:szCs w:val="32"/>
          <w:u w:val="none"/>
          <w:vertAlign w:val="baseline"/>
          <w:lang w:val="en-US" w:eastAsia="zh-CN"/>
        </w:rPr>
        <w:t>3</w:t>
      </w:r>
      <w:r>
        <w:rPr>
          <w:rFonts w:hint="eastAsia" w:ascii="仿宋_GB2312" w:hAnsi="仿宋_GB2312" w:eastAsia="仿宋_GB2312" w:cs="仿宋_GB2312"/>
          <w:b w:val="0"/>
          <w:bCs w:val="0"/>
          <w:i w:val="0"/>
          <w:iCs w:val="0"/>
          <w:caps w:val="0"/>
          <w:color w:val="333333"/>
          <w:spacing w:val="0"/>
          <w:sz w:val="32"/>
          <w:szCs w:val="32"/>
          <w:u w:val="none"/>
          <w:vertAlign w:val="baseline"/>
        </w:rPr>
        <w:t>】</w:t>
      </w:r>
      <w:r>
        <w:rPr>
          <w:rFonts w:hint="eastAsia" w:ascii="仿宋_GB2312" w:hAnsi="仿宋_GB2312" w:eastAsia="仿宋_GB2312" w:cs="仿宋_GB2312"/>
          <w:b/>
          <w:bCs/>
          <w:i w:val="0"/>
          <w:iCs w:val="0"/>
          <w:caps w:val="0"/>
          <w:color w:val="333333"/>
          <w:spacing w:val="0"/>
          <w:sz w:val="32"/>
          <w:szCs w:val="32"/>
          <w:u w:val="none"/>
          <w:vertAlign w:val="baseline"/>
          <w:lang w:val="en-US" w:eastAsia="zh-CN"/>
        </w:rPr>
        <w:t>地方特色课程—“传统工艺雕刻”</w:t>
      </w:r>
    </w:p>
    <w:p>
      <w:pPr>
        <w:pStyle w:val="14"/>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60" w:lineRule="exact"/>
        <w:ind w:left="0" w:right="0" w:firstLine="672" w:firstLineChars="200"/>
        <w:jc w:val="both"/>
        <w:textAlignment w:val="auto"/>
        <w:rPr>
          <w:rFonts w:hint="eastAsia" w:ascii="仿宋_GB2312" w:hAnsi="仿宋_GB2312" w:eastAsia="仿宋_GB2312" w:cs="仿宋_GB2312"/>
          <w:color w:val="222222"/>
          <w:spacing w:val="8"/>
          <w:sz w:val="32"/>
          <w:szCs w:val="32"/>
          <w:shd w:val="clear" w:color="auto" w:fill="FFFFFF"/>
          <w:lang w:bidi="ar-SA"/>
        </w:rPr>
      </w:pPr>
      <w:r>
        <w:rPr>
          <w:rFonts w:hint="eastAsia" w:ascii="仿宋_GB2312" w:hAnsi="仿宋_GB2312" w:eastAsia="仿宋_GB2312" w:cs="仿宋_GB2312"/>
          <w:color w:val="222222"/>
          <w:spacing w:val="8"/>
          <w:sz w:val="32"/>
          <w:szCs w:val="32"/>
          <w:shd w:val="clear" w:color="auto" w:fill="FFFFFF"/>
          <w:lang w:eastAsia="zh-CN" w:bidi="ar-SA"/>
        </w:rPr>
        <w:t>我校特聘教师宋智勇开展地方特色课程—“传统工艺雕刻”，宋老师以理论与实践相结合的授课方式，紧紧围绕地方产业服务大力弘扬劳模精神、工匠精神，营造劳动光荣的社</w:t>
      </w:r>
      <w:r>
        <w:rPr>
          <w:rFonts w:hint="eastAsia" w:ascii="仿宋_GB2312" w:hAnsi="仿宋_GB2312" w:eastAsia="仿宋_GB2312" w:cs="仿宋_GB2312"/>
          <w:color w:val="222222"/>
          <w:spacing w:val="8"/>
          <w:sz w:val="32"/>
          <w:szCs w:val="32"/>
          <w:shd w:val="clear" w:color="auto" w:fill="FFFFFF"/>
          <w:lang w:bidi="ar-SA"/>
        </w:rPr>
        <w:t>会风尚、精益求精的敬业风气和人人皆可成才、人人尽展其才的浓厚氛围，为</w:t>
      </w:r>
      <w:r>
        <w:rPr>
          <w:rFonts w:hint="eastAsia" w:ascii="仿宋_GB2312" w:hAnsi="仿宋_GB2312" w:eastAsia="仿宋_GB2312" w:cs="仿宋_GB2312"/>
          <w:color w:val="222222"/>
          <w:spacing w:val="8"/>
          <w:sz w:val="32"/>
          <w:szCs w:val="32"/>
          <w:shd w:val="clear" w:color="auto" w:fill="FFFFFF"/>
          <w:lang w:eastAsia="zh-CN" w:bidi="ar-SA"/>
        </w:rPr>
        <w:t>本次</w:t>
      </w:r>
      <w:r>
        <w:rPr>
          <w:rFonts w:hint="eastAsia" w:ascii="仿宋_GB2312" w:hAnsi="仿宋_GB2312" w:eastAsia="仿宋_GB2312" w:cs="仿宋_GB2312"/>
          <w:color w:val="222222"/>
          <w:spacing w:val="8"/>
          <w:sz w:val="32"/>
          <w:szCs w:val="32"/>
          <w:shd w:val="clear" w:color="auto" w:fill="FFFFFF"/>
          <w:lang w:bidi="ar-SA"/>
        </w:rPr>
        <w:t>地方</w:t>
      </w:r>
      <w:r>
        <w:rPr>
          <w:rFonts w:hint="eastAsia" w:ascii="仿宋_GB2312" w:hAnsi="仿宋_GB2312" w:eastAsia="仿宋_GB2312" w:cs="仿宋_GB2312"/>
          <w:color w:val="222222"/>
          <w:spacing w:val="8"/>
          <w:sz w:val="32"/>
          <w:szCs w:val="32"/>
          <w:shd w:val="clear" w:color="auto" w:fill="FFFFFF"/>
          <w:lang w:eastAsia="zh-CN" w:bidi="ar-SA"/>
        </w:rPr>
        <w:t>特色课程</w:t>
      </w:r>
      <w:r>
        <w:rPr>
          <w:rFonts w:hint="eastAsia" w:ascii="仿宋_GB2312" w:hAnsi="仿宋_GB2312" w:eastAsia="仿宋_GB2312" w:cs="仿宋_GB2312"/>
          <w:color w:val="222222"/>
          <w:spacing w:val="8"/>
          <w:sz w:val="32"/>
          <w:szCs w:val="32"/>
          <w:shd w:val="clear" w:color="auto" w:fill="FFFFFF"/>
          <w:lang w:bidi="ar-SA"/>
        </w:rPr>
        <w:t>培育优质的技能人才。</w:t>
      </w:r>
    </w:p>
    <w:p>
      <w:pPr>
        <w:ind w:firstLine="472" w:firstLineChars="200"/>
        <w:jc w:val="center"/>
        <w:rPr>
          <w:rStyle w:val="18"/>
          <w:rFonts w:hint="eastAsia" w:ascii="Microsoft YaHei UI" w:hAnsi="Microsoft YaHei UI" w:eastAsia="Microsoft YaHei UI" w:cs="Microsoft YaHei UI"/>
          <w:i w:val="0"/>
          <w:iCs w:val="0"/>
          <w:caps w:val="0"/>
          <w:color w:val="222222"/>
          <w:spacing w:val="8"/>
          <w:sz w:val="22"/>
          <w:szCs w:val="22"/>
          <w:shd w:val="clear" w:fill="FFFFFF"/>
          <w:lang w:val="en-US" w:eastAsia="zh-CN"/>
        </w:rPr>
      </w:pPr>
    </w:p>
    <w:p>
      <w:pPr>
        <w:spacing w:before="161" w:line="221" w:lineRule="auto"/>
        <w:jc w:val="cente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pPr>
      <w:r>
        <w:rPr>
          <w:rFonts w:hint="eastAsia" w:ascii="宋体" w:hAnsi="宋体" w:eastAsia="宋体" w:cs="宋体"/>
          <w:color w:val="1F4E79"/>
          <w:spacing w:val="-4"/>
          <w:sz w:val="21"/>
          <w:szCs w:val="21"/>
          <w14:textOutline w14:w="3835" w14:cap="flat" w14:cmpd="sng">
            <w14:solidFill>
              <w14:srgbClr w14:val="1F4E79"/>
            </w14:solidFill>
            <w14:prstDash w14:val="solid"/>
            <w14:miter w14:val="0"/>
          </w14:textOutline>
        </w:rPr>
        <w:drawing>
          <wp:anchor distT="0" distB="0" distL="114300" distR="114300" simplePos="0" relativeHeight="251662336" behindDoc="0" locked="0" layoutInCell="1" allowOverlap="1">
            <wp:simplePos x="0" y="0"/>
            <wp:positionH relativeFrom="column">
              <wp:posOffset>137795</wp:posOffset>
            </wp:positionH>
            <wp:positionV relativeFrom="paragraph">
              <wp:posOffset>101600</wp:posOffset>
            </wp:positionV>
            <wp:extent cx="4876800" cy="3808730"/>
            <wp:effectExtent l="0" t="0" r="0" b="1270"/>
            <wp:wrapSquare wrapText="bothSides"/>
            <wp:docPr id="12" name="图片 12" descr="c7ac4f070a683e29b0757125130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7ac4f070a683e29b07571251308613"/>
                    <pic:cNvPicPr>
                      <a:picLocks noChangeAspect="1"/>
                    </pic:cNvPicPr>
                  </pic:nvPicPr>
                  <pic:blipFill>
                    <a:blip r:embed="rId52"/>
                    <a:stretch>
                      <a:fillRect/>
                    </a:stretch>
                  </pic:blipFill>
                  <pic:spPr>
                    <a:xfrm>
                      <a:off x="0" y="0"/>
                      <a:ext cx="4876800" cy="3808730"/>
                    </a:xfrm>
                    <a:prstGeom prst="rect">
                      <a:avLst/>
                    </a:prstGeom>
                  </pic:spPr>
                </pic:pic>
              </a:graphicData>
            </a:graphic>
          </wp:anchor>
        </w:drawing>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图21  参观根雕室</w:t>
      </w:r>
    </w:p>
    <w:p>
      <w:pPr>
        <w:pStyle w:val="14"/>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60" w:lineRule="exact"/>
        <w:ind w:left="0" w:right="0" w:firstLine="672" w:firstLineChars="200"/>
        <w:jc w:val="center"/>
        <w:textAlignment w:val="auto"/>
        <w:rPr>
          <w:rFonts w:hint="eastAsia" w:ascii="仿宋_GB2312" w:hAnsi="仿宋_GB2312" w:eastAsia="仿宋_GB2312" w:cs="仿宋_GB2312"/>
          <w:color w:val="222222"/>
          <w:spacing w:val="8"/>
          <w:sz w:val="32"/>
          <w:szCs w:val="32"/>
          <w:shd w:val="clear" w:color="auto" w:fill="FFFFFF"/>
          <w:lang w:val="en-US" w:eastAsia="zh-CN" w:bidi="ar-SA"/>
        </w:rPr>
      </w:pPr>
      <w:r>
        <w:rPr>
          <w:rFonts w:hint="eastAsia" w:ascii="仿宋_GB2312" w:hAnsi="仿宋_GB2312" w:eastAsia="仿宋_GB2312" w:cs="仿宋_GB2312"/>
          <w:color w:val="222222"/>
          <w:spacing w:val="8"/>
          <w:sz w:val="32"/>
          <w:szCs w:val="32"/>
          <w:shd w:val="clear" w:color="auto" w:fill="FFFFFF"/>
          <w:lang w:val="en-US" w:eastAsia="zh-CN" w:bidi="ar-SA"/>
        </w:rPr>
        <w:t>宋老师为加深学员对民间工艺的理解和认识，授课时结合地方产业文化资源，让学员感受中国民间工艺的独到魅力，体会地方产业文化蕴含的艺术气息，同时通过实践教学，提高学员动手制作能力，激起学员的创作欲望。</w:t>
      </w:r>
    </w:p>
    <w:p>
      <w:pPr>
        <w:pStyle w:val="14"/>
        <w:widowControl/>
        <w:shd w:val="clear" w:color="auto" w:fill="FFFFFF"/>
        <w:spacing w:before="0" w:beforeAutospacing="0" w:after="0" w:afterAutospacing="0" w:line="240" w:lineRule="atLeast"/>
        <w:ind w:right="0"/>
        <w:jc w:val="center"/>
        <w:rPr>
          <w:rFonts w:hint="eastAsia" w:eastAsia="Microsoft YaHei UI"/>
          <w:lang w:eastAsia="zh-CN"/>
        </w:rPr>
      </w:pPr>
      <w:r>
        <w:rPr>
          <w:rFonts w:hint="eastAsia" w:eastAsia="Microsoft YaHei UI"/>
          <w:lang w:eastAsia="zh-CN"/>
        </w:rPr>
        <w:drawing>
          <wp:inline distT="0" distB="0" distL="114300" distR="114300">
            <wp:extent cx="5266690" cy="3808730"/>
            <wp:effectExtent l="0" t="0" r="10160" b="1270"/>
            <wp:docPr id="25" name="图片 25" descr="e6ec5e9b052c1a59b43eca5bc2783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6ec5e9b052c1a59b43eca5bc2783da"/>
                    <pic:cNvPicPr>
                      <a:picLocks noChangeAspect="1"/>
                    </pic:cNvPicPr>
                  </pic:nvPicPr>
                  <pic:blipFill>
                    <a:blip r:embed="rId53"/>
                    <a:stretch>
                      <a:fillRect/>
                    </a:stretch>
                  </pic:blipFill>
                  <pic:spPr>
                    <a:xfrm>
                      <a:off x="0" y="0"/>
                      <a:ext cx="5266690" cy="3808730"/>
                    </a:xfrm>
                    <a:prstGeom prst="rect">
                      <a:avLst/>
                    </a:prstGeom>
                  </pic:spPr>
                </pic:pic>
              </a:graphicData>
            </a:graphic>
          </wp:inline>
        </w:drawing>
      </w:r>
    </w:p>
    <w:p>
      <w:pPr>
        <w:pStyle w:val="14"/>
        <w:widowControl/>
        <w:shd w:val="clear" w:color="auto" w:fill="FFFFFF"/>
        <w:spacing w:before="0" w:beforeAutospacing="0" w:after="0" w:afterAutospacing="0" w:line="240" w:lineRule="atLeast"/>
        <w:ind w:right="0"/>
        <w:jc w:val="cente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pPr>
      <w:r>
        <w:rPr>
          <w:rFonts w:hint="eastAsia" w:ascii="宋体" w:hAnsi="宋体" w:eastAsia="宋体" w:cs="宋体"/>
          <w:color w:val="1F4E79"/>
          <w:spacing w:val="-4"/>
          <w:kern w:val="2"/>
          <w:sz w:val="21"/>
          <w:szCs w:val="21"/>
          <w:lang w:val="en-US" w:eastAsia="zh-CN" w:bidi="ar-SA"/>
          <w14:textOutline w14:w="3835" w14:cap="flat" w14:cmpd="sng">
            <w14:solidFill>
              <w14:srgbClr w14:val="1F4E79"/>
            </w14:solidFill>
            <w14:prstDash w14:val="solid"/>
            <w14:miter w14:val="0"/>
          </w14:textOutline>
        </w:rPr>
        <w:t>图22  参观成品室</w:t>
      </w:r>
    </w:p>
    <w:p>
      <w:pPr>
        <w:pStyle w:val="14"/>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60" w:lineRule="exact"/>
        <w:ind w:left="0" w:right="0" w:firstLine="672" w:firstLineChars="200"/>
        <w:jc w:val="both"/>
        <w:textAlignment w:val="auto"/>
        <w:rPr>
          <w:rFonts w:hint="eastAsia" w:ascii="仿宋_GB2312" w:hAnsi="仿宋_GB2312" w:eastAsia="仿宋_GB2312" w:cs="仿宋_GB2312"/>
          <w:color w:val="222222"/>
          <w:spacing w:val="8"/>
          <w:sz w:val="32"/>
          <w:szCs w:val="32"/>
          <w:shd w:val="clear" w:color="auto" w:fill="FFFFFF"/>
          <w:lang w:eastAsia="zh-CN" w:bidi="ar-SA"/>
        </w:rPr>
      </w:pPr>
      <w:r>
        <w:rPr>
          <w:rFonts w:hint="eastAsia" w:ascii="仿宋_GB2312" w:hAnsi="仿宋_GB2312" w:eastAsia="仿宋_GB2312" w:cs="仿宋_GB2312"/>
          <w:color w:val="222222"/>
          <w:spacing w:val="8"/>
          <w:sz w:val="32"/>
          <w:szCs w:val="32"/>
          <w:shd w:val="clear" w:color="auto" w:fill="FFFFFF"/>
          <w:lang w:eastAsia="zh-CN" w:bidi="ar-SA"/>
        </w:rPr>
        <w:t>中国根艺美术大师宋智勇从事雕刻艺术数十年，先后评为国家级技能大师、全国技术能手、江西省高级工艺美术师，荣获首届全国雕刻技能大赛总决赛特等奖、江西省五一劳动奖章等奖项，担任江西省第二届新社会阶层联谊会常务理事、鹰潭市第九届，第十届政协委员等职位，其园雕、浮雕（平雕）、根雕、建筑雕刻等工艺品雕刻及室内装修设计和创作作品深受艺术收藏者青睐，拥有国家级商标、外观实用型、著作专利高达56个。“做好传统技艺传承的同时，做一个有温度有爱心的人。”这是宋智勇对于“匠人匠心”的理解，也是他将一直遵循的理念。</w:t>
      </w:r>
    </w:p>
    <w:p>
      <w:pPr>
        <w:spacing w:before="161" w:line="221" w:lineRule="auto"/>
        <w:jc w:val="center"/>
        <w:rPr>
          <w:rFonts w:hint="eastAsia" w:ascii="宋体" w:hAnsi="宋体" w:eastAsia="宋体" w:cs="宋体"/>
          <w:color w:val="1F4E79"/>
          <w:spacing w:val="-4"/>
          <w:sz w:val="21"/>
          <w:szCs w:val="21"/>
          <w:lang w:eastAsia="zh-CN"/>
          <w14:textOutline w14:w="3835" w14:cap="flat" w14:cmpd="sng">
            <w14:solidFill>
              <w14:srgbClr w14:val="1F4E79"/>
            </w14:solidFill>
            <w14:prstDash w14:val="solid"/>
            <w14:miter w14:val="0"/>
          </w14:textOutline>
        </w:rPr>
      </w:pPr>
      <w:r>
        <w:rPr>
          <w:rFonts w:hint="eastAsia" w:ascii="宋体" w:hAnsi="宋体" w:eastAsia="宋体" w:cs="宋体"/>
          <w:color w:val="1F4E79"/>
          <w:spacing w:val="-4"/>
          <w:sz w:val="21"/>
          <w:szCs w:val="21"/>
          <w:lang w:eastAsia="zh-CN"/>
          <w14:textOutline w14:w="3835" w14:cap="flat" w14:cmpd="sng">
            <w14:solidFill>
              <w14:srgbClr w14:val="1F4E79"/>
            </w14:solidFill>
            <w14:prstDash w14:val="solid"/>
            <w14:miter w14:val="0"/>
          </w14:textOutline>
        </w:rPr>
        <w:drawing>
          <wp:anchor distT="0" distB="0" distL="114300" distR="114300" simplePos="0" relativeHeight="251663360" behindDoc="0" locked="0" layoutInCell="1" allowOverlap="1">
            <wp:simplePos x="0" y="0"/>
            <wp:positionH relativeFrom="column">
              <wp:posOffset>118745</wp:posOffset>
            </wp:positionH>
            <wp:positionV relativeFrom="paragraph">
              <wp:posOffset>139700</wp:posOffset>
            </wp:positionV>
            <wp:extent cx="5078730" cy="3756660"/>
            <wp:effectExtent l="0" t="0" r="7620" b="15240"/>
            <wp:wrapSquare wrapText="bothSides"/>
            <wp:docPr id="26" name="图片 26" descr="13673daf304beb5eed79db7097c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3673daf304beb5eed79db7097c1886"/>
                    <pic:cNvPicPr>
                      <a:picLocks noChangeAspect="1"/>
                    </pic:cNvPicPr>
                  </pic:nvPicPr>
                  <pic:blipFill>
                    <a:blip r:embed="rId54"/>
                    <a:stretch>
                      <a:fillRect/>
                    </a:stretch>
                  </pic:blipFill>
                  <pic:spPr>
                    <a:xfrm>
                      <a:off x="0" y="0"/>
                      <a:ext cx="5078730" cy="3756660"/>
                    </a:xfrm>
                    <a:prstGeom prst="rect">
                      <a:avLst/>
                    </a:prstGeom>
                  </pic:spPr>
                </pic:pic>
              </a:graphicData>
            </a:graphic>
          </wp:anchor>
        </w:drawing>
      </w: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图23  宋老师讲解</w:t>
      </w:r>
    </w:p>
    <w:p>
      <w:pPr>
        <w:jc w:val="center"/>
        <w:rPr>
          <w:rFonts w:hint="eastAsia" w:eastAsia="Microsoft YaHei UI"/>
          <w:lang w:eastAsia="zh-CN"/>
        </w:rPr>
      </w:pPr>
      <w:r>
        <w:rPr>
          <w:rFonts w:hint="eastAsia" w:eastAsia="Microsoft YaHei UI"/>
          <w:lang w:eastAsia="zh-CN"/>
        </w:rPr>
        <w:drawing>
          <wp:inline distT="0" distB="0" distL="114300" distR="114300">
            <wp:extent cx="5130165" cy="3531235"/>
            <wp:effectExtent l="0" t="0" r="13335" b="12065"/>
            <wp:docPr id="27" name="图片 27" descr="aade254719711edf2bd3f1e69cf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ade254719711edf2bd3f1e69cf9993"/>
                    <pic:cNvPicPr>
                      <a:picLocks noChangeAspect="1"/>
                    </pic:cNvPicPr>
                  </pic:nvPicPr>
                  <pic:blipFill>
                    <a:blip r:embed="rId55"/>
                    <a:stretch>
                      <a:fillRect/>
                    </a:stretch>
                  </pic:blipFill>
                  <pic:spPr>
                    <a:xfrm>
                      <a:off x="0" y="0"/>
                      <a:ext cx="5130165" cy="3531235"/>
                    </a:xfrm>
                    <a:prstGeom prst="rect">
                      <a:avLst/>
                    </a:prstGeom>
                  </pic:spPr>
                </pic:pic>
              </a:graphicData>
            </a:graphic>
          </wp:inline>
        </w:drawing>
      </w:r>
    </w:p>
    <w:p>
      <w:pPr>
        <w:spacing w:before="161" w:line="221" w:lineRule="auto"/>
        <w:jc w:val="center"/>
        <w:rPr>
          <w:rFonts w:hint="eastAsia" w:ascii="宋体" w:hAnsi="宋体" w:eastAsia="宋体" w:cs="宋体"/>
          <w:color w:val="1F4E79"/>
          <w:spacing w:val="-4"/>
          <w:sz w:val="21"/>
          <w:szCs w:val="21"/>
          <w:lang w:eastAsia="zh-CN"/>
          <w14:textOutline w14:w="3835" w14:cap="flat" w14:cmpd="sng">
            <w14:solidFill>
              <w14:srgbClr w14:val="1F4E79"/>
            </w14:solidFill>
            <w14:prstDash w14:val="solid"/>
            <w14:miter w14:val="0"/>
          </w14:textOutline>
        </w:rPr>
      </w:pPr>
      <w:r>
        <w:rPr>
          <w:rFonts w:hint="eastAsia" w:ascii="宋体" w:hAnsi="宋体" w:eastAsia="宋体" w:cs="宋体"/>
          <w:color w:val="1F4E79"/>
          <w:spacing w:val="-4"/>
          <w:sz w:val="21"/>
          <w:szCs w:val="21"/>
          <w:lang w:val="en-US" w:eastAsia="zh-CN"/>
          <w14:textOutline w14:w="3835" w14:cap="flat" w14:cmpd="sng">
            <w14:solidFill>
              <w14:srgbClr w14:val="1F4E79"/>
            </w14:solidFill>
            <w14:prstDash w14:val="solid"/>
            <w14:miter w14:val="0"/>
          </w14:textOutline>
        </w:rPr>
        <w:t>图24  学员动手操作</w:t>
      </w:r>
    </w:p>
    <w:p>
      <w:pPr>
        <w:rPr>
          <w:rFonts w:hint="eastAsia"/>
          <w:lang w:val="en-US" w:eastAsia="zh-CN"/>
        </w:rPr>
      </w:pPr>
    </w:p>
    <w:p>
      <w:pPr>
        <w:rPr>
          <w:rFonts w:hint="eastAsia" w:ascii="仿宋_GB2312" w:hAnsi="仿宋_GB2312" w:eastAsia="仿宋_GB2312" w:cs="仿宋_GB2312"/>
          <w:b/>
          <w:bCs/>
          <w:color w:val="0C0C0C"/>
          <w:kern w:val="0"/>
          <w:sz w:val="32"/>
          <w:szCs w:val="32"/>
          <w:lang w:val="en-US" w:eastAsia="zh-CN" w:bidi="ar-SA"/>
        </w:rPr>
      </w:pPr>
    </w:p>
    <w:p>
      <w:pPr>
        <w:pStyle w:val="14"/>
        <w:numPr>
          <w:ilvl w:val="0"/>
          <w:numId w:val="0"/>
        </w:numPr>
        <w:spacing w:line="600" w:lineRule="exact"/>
        <w:jc w:val="both"/>
        <w:outlineLvl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77" w:name="_Toc20677"/>
      <w:r>
        <w:rPr>
          <w:rFonts w:hint="eastAsia" w:ascii="黑体" w:hAnsi="黑体" w:eastAsia="黑体" w:cs="黑体"/>
          <w:b/>
          <w:bCs/>
          <w:color w:val="000000"/>
          <w:spacing w:val="0"/>
          <w:w w:val="100"/>
          <w:kern w:val="2"/>
          <w:position w:val="0"/>
          <w:sz w:val="32"/>
          <w:szCs w:val="32"/>
          <w:u w:val="none"/>
          <w:shd w:val="clear" w:color="auto" w:fill="auto"/>
          <w:lang w:val="en-US" w:eastAsia="zh-CN" w:bidi="zh-TW"/>
        </w:rPr>
        <w:t>6.政策落实质量</w:t>
      </w:r>
      <w:bookmarkEnd w:id="77"/>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78" w:name="_Toc1400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6.1国家政策落实</w:t>
      </w:r>
      <w:bookmarkEnd w:id="78"/>
    </w:p>
    <w:p>
      <w:pPr>
        <w:keepNext w:val="0"/>
        <w:keepLines w:val="0"/>
        <w:widowControl/>
        <w:suppressLineNumbers w:val="0"/>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落实新职教法，展现职教时代风采。</w:t>
      </w:r>
      <w:r>
        <w:rPr>
          <w:rFonts w:hint="eastAsia" w:ascii="仿宋_GB2312" w:hAnsi="仿宋_GB2312" w:eastAsia="仿宋_GB2312" w:cs="仿宋_GB2312"/>
          <w:color w:val="0C0C0C"/>
          <w:sz w:val="32"/>
          <w:szCs w:val="32"/>
        </w:rPr>
        <w:t>自新《职业教育法》颁布以来，我校认真、广泛的在师生中开展了对新法的学习宣传活动：</w:t>
      </w:r>
      <w:r>
        <w:rPr>
          <w:rFonts w:hint="eastAsia" w:ascii="仿宋_GB2312" w:hAnsi="仿宋_GB2312" w:eastAsia="仿宋_GB2312" w:cs="仿宋_GB2312"/>
          <w:b/>
          <w:bCs/>
          <w:color w:val="0C0C0C"/>
          <w:sz w:val="32"/>
          <w:szCs w:val="32"/>
        </w:rPr>
        <w:t>一是</w:t>
      </w:r>
      <w:r>
        <w:rPr>
          <w:rFonts w:hint="eastAsia" w:ascii="仿宋_GB2312" w:hAnsi="仿宋_GB2312" w:eastAsia="仿宋_GB2312" w:cs="仿宋_GB2312"/>
          <w:color w:val="0C0C0C"/>
          <w:sz w:val="32"/>
          <w:szCs w:val="32"/>
        </w:rPr>
        <w:t>通过校园官方网站、微信公众号等网络平台多次宣传推广《职业教育法》；</w:t>
      </w:r>
      <w:r>
        <w:rPr>
          <w:rFonts w:hint="eastAsia" w:ascii="仿宋_GB2312" w:hAnsi="仿宋_GB2312" w:eastAsia="仿宋_GB2312" w:cs="仿宋_GB2312"/>
          <w:b/>
          <w:bCs/>
          <w:color w:val="0C0C0C"/>
          <w:sz w:val="32"/>
          <w:szCs w:val="32"/>
        </w:rPr>
        <w:t>二是</w:t>
      </w:r>
      <w:r>
        <w:rPr>
          <w:rFonts w:hint="eastAsia" w:ascii="仿宋_GB2312" w:hAnsi="仿宋_GB2312" w:eastAsia="仿宋_GB2312" w:cs="仿宋_GB2312"/>
          <w:color w:val="0C0C0C"/>
          <w:sz w:val="32"/>
          <w:szCs w:val="32"/>
        </w:rPr>
        <w:t>通过召开层中干部会、周工作例会和教研活动，组织教职工学习座谈《职业教育法》并撰写学习心得体会。</w:t>
      </w:r>
      <w:r>
        <w:rPr>
          <w:rFonts w:hint="eastAsia" w:ascii="仿宋_GB2312" w:hAnsi="仿宋_GB2312" w:eastAsia="仿宋_GB2312" w:cs="仿宋_GB2312"/>
          <w:b/>
          <w:bCs/>
          <w:color w:val="0C0C0C"/>
          <w:sz w:val="32"/>
          <w:szCs w:val="32"/>
        </w:rPr>
        <w:t>三是</w:t>
      </w:r>
      <w:r>
        <w:rPr>
          <w:rFonts w:hint="eastAsia" w:ascii="仿宋_GB2312" w:hAnsi="仿宋_GB2312" w:eastAsia="仿宋_GB2312" w:cs="仿宋_GB2312"/>
          <w:color w:val="0C0C0C"/>
          <w:sz w:val="32"/>
          <w:szCs w:val="32"/>
        </w:rPr>
        <w:t>通过召开班会和观看视频专题片等形式，组织学生学习《职业教育法》，提升对职业教育的认可度，明确未来发展反向。</w:t>
      </w:r>
      <w:r>
        <w:rPr>
          <w:rFonts w:hint="eastAsia" w:ascii="仿宋_GB2312" w:hAnsi="仿宋_GB2312" w:eastAsia="仿宋_GB2312" w:cs="仿宋_GB2312"/>
          <w:b/>
          <w:bCs/>
          <w:color w:val="0C0C0C"/>
          <w:sz w:val="32"/>
          <w:szCs w:val="32"/>
        </w:rPr>
        <w:t>四</w:t>
      </w:r>
      <w:r>
        <w:rPr>
          <w:rFonts w:hint="eastAsia" w:ascii="仿宋_GB2312" w:hAnsi="仿宋_GB2312" w:eastAsia="仿宋_GB2312" w:cs="仿宋_GB2312"/>
          <w:b/>
          <w:bCs/>
          <w:sz w:val="32"/>
          <w:szCs w:val="32"/>
        </w:rPr>
        <w:t>是</w:t>
      </w:r>
      <w:r>
        <w:rPr>
          <w:rFonts w:hint="eastAsia" w:ascii="仿宋_GB2312" w:hAnsi="仿宋_GB2312" w:eastAsia="仿宋_GB2312" w:cs="仿宋_GB2312"/>
          <w:sz w:val="32"/>
          <w:szCs w:val="32"/>
        </w:rPr>
        <w:t>5月23日至5月29日举办了以“技能让生活更美好”为主题的职业教育活动周，暨鹰潭市新时代第三届中等职业学校技能大赛，集中展示全市400余名中职学生技能风采，进一步激发了学生学习职业技能的热情，营造了人人皆可成才、人人尽展其才的良好氛围。</w:t>
      </w:r>
      <w:r>
        <w:rPr>
          <w:rFonts w:hint="eastAsia" w:ascii="仿宋_GB2312" w:hAnsi="仿宋_GB2312" w:eastAsia="仿宋_GB2312" w:cs="仿宋_GB2312"/>
          <w:b/>
          <w:bCs/>
          <w:sz w:val="32"/>
          <w:szCs w:val="32"/>
        </w:rPr>
        <w:t>五是</w:t>
      </w:r>
      <w:r>
        <w:rPr>
          <w:rFonts w:hint="eastAsia" w:ascii="仿宋_GB2312" w:hAnsi="仿宋_GB2312" w:eastAsia="仿宋_GB2312" w:cs="仿宋_GB2312"/>
          <w:sz w:val="32"/>
          <w:szCs w:val="32"/>
        </w:rPr>
        <w:t>持续推进“1+X”证书试点工作。幼儿照护、汽车运用与维修、研学旅行策划与管理、网店运营与推广、会计事务5个专业将1+X证书制度试点与专业建设、课程建设、教师队伍建设等紧密结合，提升教学质量和学生就业能力。</w:t>
      </w:r>
      <w:r>
        <w:rPr>
          <w:rFonts w:hint="eastAsia" w:ascii="仿宋_GB2312" w:hAnsi="仿宋_GB2312" w:eastAsia="仿宋_GB2312" w:cs="仿宋_GB2312"/>
          <w:b/>
          <w:bCs/>
          <w:sz w:val="32"/>
          <w:szCs w:val="32"/>
          <w:lang w:val="en-US" w:eastAsia="zh-CN"/>
        </w:rPr>
        <w:t>六是</w:t>
      </w:r>
      <w:r>
        <w:rPr>
          <w:rFonts w:hint="eastAsia" w:ascii="仿宋" w:hAnsi="仿宋" w:eastAsia="仿宋" w:cs="仿宋"/>
          <w:color w:val="000000"/>
          <w:kern w:val="0"/>
          <w:sz w:val="32"/>
          <w:szCs w:val="32"/>
          <w:lang w:val="en-US" w:eastAsia="zh-CN" w:bidi="ar"/>
        </w:rPr>
        <w:t>落实教师编制工作。</w:t>
      </w:r>
      <w:r>
        <w:rPr>
          <w:rFonts w:hint="eastAsia" w:ascii="仿宋_GB2312" w:hAnsi="仿宋_GB2312" w:eastAsia="仿宋_GB2312" w:cs="仿宋_GB2312"/>
          <w:sz w:val="32"/>
          <w:szCs w:val="32"/>
        </w:rPr>
        <w:t>鹰潭应用工程学校是</w:t>
      </w:r>
      <w:r>
        <w:rPr>
          <w:rFonts w:hint="eastAsia" w:ascii="仿宋_GB2312" w:hAnsi="仿宋_GB2312" w:eastAsia="仿宋_GB2312" w:cs="仿宋_GB2312"/>
          <w:sz w:val="32"/>
          <w:szCs w:val="32"/>
          <w:lang w:val="en-US" w:eastAsia="zh-CN"/>
        </w:rPr>
        <w:t>鹰潭</w:t>
      </w:r>
      <w:r>
        <w:rPr>
          <w:rFonts w:hint="eastAsia" w:ascii="仿宋_GB2312" w:hAnsi="仿宋_GB2312" w:eastAsia="仿宋_GB2312" w:cs="仿宋_GB2312"/>
          <w:sz w:val="32"/>
          <w:szCs w:val="32"/>
        </w:rPr>
        <w:t>市政府直属</w:t>
      </w:r>
      <w:r>
        <w:rPr>
          <w:rFonts w:hint="eastAsia" w:ascii="仿宋_GB2312" w:hAnsi="仿宋_GB2312" w:eastAsia="仿宋_GB2312" w:cs="仿宋_GB2312"/>
          <w:sz w:val="32"/>
          <w:szCs w:val="32"/>
          <w:lang w:val="en-US" w:eastAsia="zh-CN"/>
        </w:rPr>
        <w:t>公益二类</w:t>
      </w:r>
      <w:r>
        <w:rPr>
          <w:rFonts w:hint="eastAsia" w:ascii="仿宋_GB2312" w:hAnsi="仿宋_GB2312" w:eastAsia="仿宋_GB2312" w:cs="仿宋_GB2312"/>
          <w:sz w:val="32"/>
          <w:szCs w:val="32"/>
        </w:rPr>
        <w:t>事业单位</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学校共核定人员总量175名。其中，全额拨款事业编制120名，备案人员数55名。</w:t>
      </w:r>
    </w:p>
    <w:p>
      <w:pPr>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近年来，学校在鹰潭市、余江区有关部门的大力支持和帮助下，通过事业单位招聘、人才引进和余江区选调等途径，师资力量得到迅速壮大，截止目前我校已落实在编教师数104名，全额拨款事业编制占比87%。其中2021年，人才引进落实教师编制11名，事业单位招聘落实教师编制16名,余江区选调落实教师编制7名；2022年，事业单位招聘落实教师编制15名，余江区选调落实教师编制8名。</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当前按照市委人才办、市人社局人才引进工作部署，2022年人才引进工作正在有序开展。我校上报2022年人才引进计划10名，其中2名数学教师、2名语文教师、2名物联网教师、2名眼视光教师、1名思政教师、1名历史教师。预计2023年2月份可以落实教师编制114名，全额拨款事业编制占比将达95%。</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79" w:name="_Toc15943"/>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6.2地方政策落实</w:t>
      </w:r>
      <w:bookmarkEnd w:id="79"/>
    </w:p>
    <w:p>
      <w:pPr>
        <w:spacing w:line="600" w:lineRule="exact"/>
        <w:ind w:firstLine="640" w:firstLineChars="200"/>
        <w:rPr>
          <w:rFonts w:hint="eastAsia" w:ascii="仿宋_GB2312" w:hAnsi="仿宋_GB2312" w:eastAsia="仿宋_GB2312"/>
          <w:sz w:val="32"/>
          <w:szCs w:val="24"/>
          <w:lang w:val="zh-CN"/>
        </w:rPr>
      </w:pPr>
      <w:r>
        <w:rPr>
          <w:rFonts w:hint="eastAsia" w:ascii="仿宋_GB2312" w:hAnsi="楷体" w:eastAsia="仿宋_GB2312"/>
          <w:bCs/>
          <w:sz w:val="32"/>
          <w:szCs w:val="24"/>
        </w:rPr>
        <w:t>强化师资力量</w:t>
      </w:r>
      <w:r>
        <w:rPr>
          <w:rFonts w:hint="eastAsia" w:ascii="仿宋_GB2312" w:hAnsi="楷体" w:eastAsia="仿宋_GB2312"/>
          <w:bCs/>
          <w:sz w:val="32"/>
          <w:szCs w:val="24"/>
          <w:lang w:val="zh-CN"/>
        </w:rPr>
        <w:t>，</w:t>
      </w:r>
      <w:r>
        <w:rPr>
          <w:rFonts w:hint="eastAsia" w:ascii="仿宋_GB2312" w:hAnsi="楷体" w:eastAsia="仿宋_GB2312"/>
          <w:bCs/>
          <w:sz w:val="32"/>
          <w:szCs w:val="24"/>
        </w:rPr>
        <w:t>打造新时代</w:t>
      </w:r>
      <w:r>
        <w:rPr>
          <w:rFonts w:hint="eastAsia" w:ascii="仿宋_GB2312" w:hAnsi="楷体" w:eastAsia="仿宋_GB2312"/>
          <w:bCs/>
          <w:sz w:val="32"/>
          <w:szCs w:val="24"/>
          <w:lang w:val="zh-CN"/>
        </w:rPr>
        <w:t>教师队伍。</w:t>
      </w:r>
      <w:r>
        <w:rPr>
          <w:rFonts w:hint="eastAsia" w:ascii="仿宋_GB2312" w:hAnsi="仿宋_GB2312" w:eastAsia="仿宋_GB2312" w:cs="仿宋_GB2312"/>
          <w:b/>
          <w:bCs/>
          <w:sz w:val="32"/>
          <w:szCs w:val="32"/>
        </w:rPr>
        <w:t>一是</w:t>
      </w:r>
      <w:r>
        <w:rPr>
          <w:rFonts w:hint="eastAsia" w:ascii="仿宋_GB2312" w:hAnsi="仿宋_GB2312" w:eastAsia="仿宋_GB2312" w:cs="仿宋_GB2312"/>
          <w:sz w:val="32"/>
          <w:szCs w:val="32"/>
        </w:rPr>
        <w:t>加强双师型教师队伍建设。2022年我校共有47名教师被省教育厅新评为双师型教师。</w:t>
      </w:r>
      <w:r>
        <w:rPr>
          <w:rFonts w:hint="eastAsia" w:ascii="仿宋_GB2312" w:hAnsi="仿宋_GB2312" w:eastAsia="仿宋_GB2312"/>
          <w:b/>
          <w:sz w:val="32"/>
          <w:szCs w:val="24"/>
          <w:lang w:val="zh-CN"/>
        </w:rPr>
        <w:t>二是</w:t>
      </w:r>
      <w:r>
        <w:rPr>
          <w:rFonts w:hint="eastAsia" w:ascii="仿宋_GB2312" w:hAnsi="仿宋_GB2312" w:eastAsia="仿宋_GB2312"/>
          <w:sz w:val="32"/>
          <w:szCs w:val="24"/>
          <w:lang w:val="zh-CN"/>
        </w:rPr>
        <w:t>积极组织教师通过集中学习、外出培训、组织竞赛、公开课教学等多途径提高业务水平。</w:t>
      </w:r>
      <w:r>
        <w:rPr>
          <w:rFonts w:hint="eastAsia" w:ascii="仿宋_GB2312" w:hAnsi="仿宋_GB2312" w:eastAsia="仿宋_GB2312" w:cs="仿宋_GB2312"/>
          <w:b/>
          <w:bCs/>
          <w:sz w:val="32"/>
          <w:szCs w:val="32"/>
        </w:rPr>
        <w:t>三是</w:t>
      </w:r>
      <w:r>
        <w:rPr>
          <w:rFonts w:hint="eastAsia" w:ascii="仿宋_GB2312" w:hAnsi="仿宋_GB2312" w:eastAsia="仿宋_GB2312" w:cs="仿宋_GB2312"/>
          <w:sz w:val="32"/>
          <w:szCs w:val="32"/>
        </w:rPr>
        <w:t>积极开展了人才招聘工作。在市人社局、教育局统一部署下，完成2021年事业单位工作人员招聘、2022高层次研究生人才引进工作，服务好6位上饶师范学院顶岗实习教师实习工作。</w:t>
      </w:r>
      <w:r>
        <w:rPr>
          <w:rFonts w:hint="eastAsia" w:ascii="仿宋_GB2312" w:hAnsi="仿宋_GB2312" w:eastAsia="仿宋_GB2312"/>
          <w:b/>
          <w:sz w:val="32"/>
          <w:szCs w:val="24"/>
          <w:lang w:val="zh-CN"/>
        </w:rPr>
        <w:t>四是</w:t>
      </w:r>
      <w:r>
        <w:rPr>
          <w:rFonts w:hint="eastAsia" w:ascii="仿宋_GB2312" w:hAnsi="仿宋_GB2312" w:eastAsia="仿宋_GB2312"/>
          <w:sz w:val="32"/>
          <w:szCs w:val="24"/>
          <w:lang w:val="zh-CN"/>
        </w:rPr>
        <w:t>学校各部门组织教师参加了各类培训，通过专题讲座、研讨交流、网络培训等方式助力教师专业化成长，今年20余名教师通过培训获得1+x等各类资格证书，推进我校双师型教师队伍发展壮大。</w:t>
      </w:r>
      <w:r>
        <w:rPr>
          <w:rFonts w:hint="eastAsia" w:ascii="仿宋_GB2312" w:hAnsi="仿宋_GB2312" w:eastAsia="仿宋_GB2312"/>
          <w:b/>
          <w:sz w:val="32"/>
          <w:szCs w:val="24"/>
          <w:lang w:val="zh-CN"/>
        </w:rPr>
        <w:t>五是</w:t>
      </w:r>
      <w:r>
        <w:rPr>
          <w:rFonts w:hint="eastAsia" w:ascii="仿宋_GB2312" w:hAnsi="仿宋_GB2312" w:eastAsia="仿宋_GB2312"/>
          <w:sz w:val="32"/>
          <w:szCs w:val="24"/>
          <w:lang w:val="zh-CN"/>
        </w:rPr>
        <w:t>完善教师培养机制，实施新教师</w:t>
      </w:r>
      <w:r>
        <w:rPr>
          <w:rFonts w:ascii="仿宋_GB2312" w:hAnsi="仿宋_GB2312" w:eastAsia="仿宋_GB2312"/>
          <w:sz w:val="32"/>
          <w:szCs w:val="24"/>
          <w:lang w:val="zh-CN"/>
        </w:rPr>
        <w:t>“</w:t>
      </w:r>
      <w:r>
        <w:rPr>
          <w:rFonts w:hint="eastAsia" w:ascii="仿宋_GB2312" w:hAnsi="仿宋_GB2312" w:eastAsia="仿宋_GB2312"/>
          <w:sz w:val="32"/>
          <w:szCs w:val="24"/>
          <w:lang w:val="zh-CN"/>
        </w:rPr>
        <w:t>青蓝计划</w:t>
      </w:r>
      <w:r>
        <w:rPr>
          <w:rFonts w:ascii="仿宋_GB2312" w:hAnsi="仿宋_GB2312" w:eastAsia="仿宋_GB2312"/>
          <w:sz w:val="32"/>
          <w:szCs w:val="24"/>
          <w:lang w:val="zh-CN"/>
        </w:rPr>
        <w:t>”</w:t>
      </w:r>
      <w:r>
        <w:rPr>
          <w:rFonts w:hint="eastAsia" w:ascii="仿宋_GB2312" w:hAnsi="仿宋_GB2312" w:eastAsia="仿宋_GB2312"/>
          <w:sz w:val="32"/>
          <w:szCs w:val="24"/>
          <w:lang w:val="zh-CN"/>
        </w:rPr>
        <w:t>、深入开展教研活动，推动实现教师的专业成长引领学生的全面发展。</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80" w:name="_Toc11373"/>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6.3学校治理</w:t>
      </w:r>
      <w:bookmarkEnd w:id="80"/>
    </w:p>
    <w:p>
      <w:pPr>
        <w:pStyle w:val="5"/>
        <w:bidi w:val="0"/>
        <w:rPr>
          <w:rFonts w:hint="eastAsia"/>
          <w:lang w:val="en-US" w:eastAsia="zh-CN"/>
        </w:rPr>
      </w:pPr>
      <w:bookmarkStart w:id="81" w:name="_Toc108"/>
      <w:r>
        <w:rPr>
          <w:rFonts w:hint="eastAsia" w:ascii="仿宋_GB2312" w:hAnsi="仿宋_GB2312" w:eastAsia="仿宋_GB2312" w:cs="仿宋_GB2312"/>
          <w:b/>
          <w:bCs/>
          <w:color w:val="0C0C0C"/>
          <w:kern w:val="0"/>
          <w:sz w:val="32"/>
          <w:szCs w:val="32"/>
          <w:lang w:val="en-US" w:eastAsia="zh-CN" w:bidi="ar-SA"/>
        </w:rPr>
        <w:t>6.3.1教学管理</w:t>
      </w:r>
      <w:bookmarkEnd w:id="81"/>
    </w:p>
    <w:p>
      <w:pPr>
        <w:spacing w:line="60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持续推进“教学诊断改进”，狠抓教学管理。以问题为导向，对专业建设、实训课完善开发、专业理论课建设、专业课程组管理、实训课规范管理、技能竞赛管理、校企合作项目、实训室 </w:t>
      </w: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rPr>
        <w:t>s 管理等方面开展“8 字形”质量改进螺旋进行规范。建立健全质量监控体系，用好系统平台，对课程运行状态进行监控，不断提升学校质量效益、专业发展水平、课程运行状态、教师综合能力、学生综合素质。</w:t>
      </w:r>
    </w:p>
    <w:p>
      <w:pPr>
        <w:pStyle w:val="5"/>
        <w:bidi w:val="0"/>
        <w:rPr>
          <w:rFonts w:hint="eastAsia"/>
        </w:rPr>
      </w:pPr>
      <w:bookmarkStart w:id="82" w:name="_Toc24966"/>
      <w:r>
        <w:rPr>
          <w:rFonts w:hint="eastAsia" w:ascii="仿宋_GB2312" w:hAnsi="仿宋_GB2312" w:eastAsia="仿宋_GB2312" w:cs="仿宋_GB2312"/>
          <w:b/>
          <w:bCs/>
          <w:color w:val="0C0C0C"/>
          <w:kern w:val="0"/>
          <w:sz w:val="32"/>
          <w:szCs w:val="32"/>
          <w:lang w:val="en-US" w:eastAsia="zh-CN" w:bidi="ar-SA"/>
        </w:rPr>
        <w:t>6.3.2实习管理</w:t>
      </w:r>
      <w:bookmarkEnd w:id="82"/>
    </w:p>
    <w:p>
      <w:pPr>
        <w:spacing w:line="60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持续规范学生顶岗实习管理，规范学生实习与管理。严格落实《实习期班主任工作考核办法》、《学生顶岗实习单位考察、遴选办法》、《学生顶岗实习岗前培训方案》、等制度，对顶岗实习前、实习中、实习后的各项流程进行进 一步规范，利用移动平台时时跟踪实习学生动向，形成区域企业责任人、班主任、专业指导老师及企业的专门管理人员共同配合对进行管理，确保顶岗实习管理体系日趋完善。</w:t>
      </w:r>
    </w:p>
    <w:p>
      <w:pPr>
        <w:pStyle w:val="5"/>
        <w:bidi w:val="0"/>
        <w:rPr>
          <w:rFonts w:hint="eastAsia" w:ascii="仿宋_GB2312" w:hAnsi="仿宋_GB2312" w:eastAsia="仿宋_GB2312" w:cs="仿宋_GB2312"/>
          <w:sz w:val="32"/>
          <w:szCs w:val="32"/>
        </w:rPr>
      </w:pPr>
      <w:bookmarkStart w:id="83" w:name="_Toc15782"/>
      <w:r>
        <w:rPr>
          <w:rFonts w:hint="eastAsia" w:ascii="仿宋_GB2312" w:hAnsi="仿宋_GB2312" w:eastAsia="仿宋_GB2312" w:cs="仿宋_GB2312"/>
          <w:b/>
          <w:bCs/>
          <w:color w:val="0C0C0C"/>
          <w:kern w:val="0"/>
          <w:sz w:val="32"/>
          <w:szCs w:val="32"/>
          <w:lang w:val="en-US" w:eastAsia="zh-CN" w:bidi="ar-SA"/>
        </w:rPr>
        <w:t>6.3.3学生管理</w:t>
      </w:r>
      <w:bookmarkEnd w:id="83"/>
    </w:p>
    <w:p>
      <w:pPr>
        <w:spacing w:line="60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始终坚持立德树人为根本任务，服务学生日常工作。对新入职班主任进行培训，签署师德师风承诺书。组织全体班主任对《</w:t>
      </w:r>
      <w:r>
        <w:rPr>
          <w:rFonts w:hint="eastAsia" w:ascii="仿宋_GB2312" w:hAnsi="仿宋_GB2312" w:eastAsia="仿宋_GB2312" w:cs="仿宋_GB2312"/>
          <w:sz w:val="32"/>
          <w:szCs w:val="32"/>
          <w:lang w:val="en-US" w:eastAsia="zh-CN"/>
        </w:rPr>
        <w:t>新时代</w:t>
      </w:r>
      <w:r>
        <w:rPr>
          <w:rFonts w:hint="eastAsia" w:ascii="仿宋_GB2312" w:hAnsi="仿宋_GB2312" w:eastAsia="仿宋_GB2312" w:cs="仿宋_GB2312"/>
          <w:sz w:val="32"/>
          <w:szCs w:val="32"/>
        </w:rPr>
        <w:t>教师十不准》、《</w:t>
      </w:r>
      <w:r>
        <w:rPr>
          <w:rFonts w:hint="eastAsia" w:ascii="仿宋_GB2312" w:hAnsi="仿宋_GB2312" w:eastAsia="仿宋_GB2312" w:cs="仿宋_GB2312"/>
          <w:sz w:val="32"/>
          <w:szCs w:val="32"/>
          <w:lang w:val="en-US" w:eastAsia="zh-CN"/>
        </w:rPr>
        <w:t>班主任管理办法</w:t>
      </w:r>
      <w:r>
        <w:rPr>
          <w:rFonts w:hint="eastAsia" w:ascii="仿宋_GB2312" w:hAnsi="仿宋_GB2312" w:eastAsia="仿宋_GB2312" w:cs="仿宋_GB2312"/>
          <w:sz w:val="32"/>
          <w:szCs w:val="32"/>
        </w:rPr>
        <w:t>》等相关制度进行学习。发挥学生心理健康中心作用，开展学生心理健康教育，全年未出现因学生心理问题引发的重大问题。狠抓学籍资助日常管理，紧盯学籍异常情况进行核查， 确保学生学籍管理零失误。严格按照上级相关文件，制定学校资助、贫困学生 认定、奖学金评定均无不良反应。</w:t>
      </w:r>
    </w:p>
    <w:p>
      <w:pPr>
        <w:pStyle w:val="5"/>
        <w:bidi w:val="0"/>
        <w:rPr>
          <w:rFonts w:hint="eastAsia"/>
          <w:lang w:val="en-US" w:eastAsia="zh-CN"/>
        </w:rPr>
      </w:pPr>
      <w:bookmarkStart w:id="84" w:name="_Toc9964"/>
      <w:r>
        <w:rPr>
          <w:rFonts w:hint="eastAsia" w:ascii="仿宋_GB2312" w:hAnsi="仿宋_GB2312" w:eastAsia="仿宋_GB2312" w:cs="仿宋_GB2312"/>
          <w:b/>
          <w:bCs/>
          <w:color w:val="0C0C0C"/>
          <w:kern w:val="0"/>
          <w:sz w:val="32"/>
          <w:szCs w:val="32"/>
          <w:lang w:val="en-US" w:eastAsia="zh-CN" w:bidi="ar-SA"/>
        </w:rPr>
        <w:t>6.3.4财务管理</w:t>
      </w:r>
      <w:bookmarkEnd w:id="84"/>
    </w:p>
    <w:p>
      <w:pPr>
        <w:spacing w:line="60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有效防范财务运行风险，严控资金预算与审核。严格执行学校预算、支出管理办法，召开预算工作推进会，不断提高预算使用效率；严格执行财经纪律，加强财务审核， 落实《报销审核审批办法》、《财务票据管理办法》等系列制度，进一步使财务管理工作制度化，财务行为规范化、标准化；落实《校内采购管理暂行办法》</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《政府采购管理暂行办法》等制度，进一步规范学校招标采购程序，加强合同管理。</w:t>
      </w:r>
    </w:p>
    <w:p>
      <w:pPr>
        <w:pStyle w:val="5"/>
        <w:bidi w:val="0"/>
        <w:rPr>
          <w:rFonts w:hint="eastAsia"/>
          <w:lang w:val="en-US" w:eastAsia="zh-CN"/>
        </w:rPr>
      </w:pPr>
      <w:bookmarkStart w:id="85" w:name="_Toc15962"/>
      <w:r>
        <w:rPr>
          <w:rFonts w:hint="eastAsia" w:ascii="仿宋_GB2312" w:hAnsi="仿宋_GB2312" w:eastAsia="仿宋_GB2312" w:cs="仿宋_GB2312"/>
          <w:b/>
          <w:bCs/>
          <w:color w:val="0C0C0C"/>
          <w:kern w:val="0"/>
          <w:sz w:val="32"/>
          <w:szCs w:val="32"/>
          <w:lang w:val="en-US" w:eastAsia="zh-CN" w:bidi="ar-SA"/>
        </w:rPr>
        <w:t>6.3.5安全管理</w:t>
      </w:r>
      <w:bookmarkEnd w:id="85"/>
    </w:p>
    <w:p>
      <w:pPr>
        <w:spacing w:line="600" w:lineRule="exact"/>
        <w:ind w:firstLine="640" w:firstLineChars="200"/>
        <w:rPr>
          <w:rFonts w:ascii="Arial"/>
          <w:sz w:val="21"/>
        </w:rPr>
      </w:pPr>
      <w:r>
        <w:rPr>
          <w:rFonts w:hint="eastAsia" w:ascii="仿宋_GB2312" w:hAnsi="仿宋_GB2312" w:eastAsia="仿宋_GB2312" w:cs="仿宋_GB2312"/>
          <w:sz w:val="32"/>
          <w:szCs w:val="32"/>
        </w:rPr>
        <w:t>深入推进“美丽平安校园”，开展“我为群众办实事”。定点收集、及时处理废弃口罩等有害垃圾，为广大师生创造整洁、健康、文明的校园环境。</w:t>
      </w:r>
    </w:p>
    <w:p>
      <w:pPr>
        <w:ind w:firstLine="640" w:firstLineChars="200"/>
        <w:rPr>
          <w:rFonts w:hint="eastAsia" w:ascii="仿宋_GB2312" w:eastAsia="仿宋_GB2312"/>
          <w:sz w:val="32"/>
          <w:szCs w:val="32"/>
        </w:rPr>
      </w:pPr>
      <w:r>
        <w:rPr>
          <w:rFonts w:hint="eastAsia" w:ascii="仿宋_GB2312" w:eastAsia="仿宋_GB2312"/>
          <w:sz w:val="32"/>
          <w:szCs w:val="32"/>
        </w:rPr>
        <w:t>开展校园食品安全专项检查，重点针对食堂采购的食材质量、索证、采购记录以及食堂内及食堂周边十米内卫生是否干净整洁，“三防措施”是否开展，措施设备是否老旧影响使用，消防设备是否过期，能否正常使用等问题。严格执行专人负责，每天巡查，及时对学生劳动情况进行考核和反馈，加强了学生的劳动意识，保障了整洁的校园环境。</w:t>
      </w:r>
    </w:p>
    <w:p>
      <w:pPr>
        <w:pStyle w:val="5"/>
        <w:bidi w:val="0"/>
        <w:rPr>
          <w:rFonts w:hint="eastAsia" w:ascii="仿宋_GB2312" w:eastAsia="仿宋_GB2312"/>
          <w:sz w:val="32"/>
          <w:szCs w:val="32"/>
        </w:rPr>
      </w:pPr>
      <w:bookmarkStart w:id="86" w:name="_Toc22977"/>
      <w:r>
        <w:rPr>
          <w:rFonts w:hint="eastAsia" w:ascii="仿宋_GB2312" w:hAnsi="仿宋_GB2312" w:eastAsia="仿宋_GB2312" w:cs="仿宋_GB2312"/>
          <w:b/>
          <w:bCs/>
          <w:color w:val="0C0C0C"/>
          <w:kern w:val="0"/>
          <w:sz w:val="32"/>
          <w:szCs w:val="32"/>
          <w:lang w:val="en-US" w:eastAsia="zh-CN" w:bidi="ar-SA"/>
        </w:rPr>
        <w:t>6.3.6疫情防控</w:t>
      </w:r>
      <w:bookmarkEnd w:id="86"/>
    </w:p>
    <w:p>
      <w:pPr>
        <w:ind w:firstLine="640" w:firstLineChars="200"/>
        <w:rPr>
          <w:rFonts w:hint="eastAsia" w:ascii="仿宋_GB2312" w:eastAsia="仿宋_GB2312"/>
          <w:sz w:val="32"/>
          <w:szCs w:val="32"/>
        </w:rPr>
      </w:pPr>
      <w:r>
        <w:rPr>
          <w:rFonts w:hint="eastAsia" w:ascii="仿宋_GB2312" w:eastAsia="仿宋_GB2312"/>
          <w:sz w:val="32"/>
          <w:szCs w:val="32"/>
        </w:rPr>
        <w:t>紧盯常态化疫情防控，持续抓好学校安全管理工作。严守防疫“作战网”</w:t>
      </w:r>
      <w:r>
        <w:rPr>
          <w:rFonts w:hint="eastAsia" w:ascii="仿宋_GB2312" w:eastAsia="仿宋_GB2312"/>
          <w:sz w:val="32"/>
          <w:szCs w:val="32"/>
          <w:lang w:eastAsia="zh-CN"/>
        </w:rPr>
        <w:t>、</w:t>
      </w:r>
      <w:r>
        <w:rPr>
          <w:rFonts w:hint="eastAsia" w:ascii="仿宋_GB2312" w:eastAsia="仿宋_GB2312"/>
          <w:sz w:val="32"/>
          <w:szCs w:val="32"/>
        </w:rPr>
        <w:t>“防控网”，严格落实疫情防控各项制度。加强思想教育，预防违法犯罪，开展了预防校园欺凌、交通、防溺水等方面安全宣传教育，通过对全校学生宿舍进行安全大检查，重点查处违规用电及违禁用品，开展“消防安全演练”等活动，确保学校未发生伤亡事故和刑事案件。</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87" w:name="_Toc414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6.4质量保证体系建设</w:t>
      </w:r>
      <w:bookmarkEnd w:id="87"/>
    </w:p>
    <w:p>
      <w:pPr>
        <w:spacing w:before="223" w:line="402" w:lineRule="auto"/>
        <w:ind w:right="11" w:firstLine="640" w:firstLineChars="200"/>
        <w:rPr>
          <w:rFonts w:hint="eastAsia"/>
          <w:lang w:val="en-US" w:eastAsia="zh-CN"/>
        </w:rPr>
      </w:pPr>
      <w:r>
        <w:rPr>
          <w:rFonts w:hint="eastAsia" w:ascii="仿宋_GB2312" w:hAnsi="仿宋_GB2312" w:eastAsia="仿宋_GB2312" w:cs="仿宋_GB2312"/>
          <w:color w:val="0C0C0C"/>
          <w:kern w:val="0"/>
          <w:sz w:val="32"/>
          <w:szCs w:val="32"/>
          <w:lang w:val="en-US" w:eastAsia="zh-CN" w:bidi="ar-SA"/>
        </w:rPr>
        <w:t>2021-2022学年学校坚持贯彻落实《国务院关于加快发展现代职业教育的决定》精神，围绕部省共建职业教育创新发展高地的要求，以全面质量管理的思想为指导，以提高利益相关方对学校人才培养工作的满意度为目标，按照 “需求导向、自我保证，多元诊断、重在改进”的工作方针，通过健全组织体系和制度体系，持续打造目标链和标准链，分步完成人才培养质量保证体系平 台的建设，分层培育学校质量文化继续完善内部质量保证体系，实施全员、全过程、全方位质量管理，切实发挥学校教学质量保证主体的作用，完善教学诊断和改进制度，不断提升发展能力和人才培养质量。</w:t>
      </w:r>
    </w:p>
    <w:p>
      <w:pPr>
        <w:pStyle w:val="5"/>
        <w:bidi w:val="0"/>
        <w:rPr>
          <w:rFonts w:hint="eastAsia" w:ascii="仿宋_GB2312" w:hAnsi="仿宋_GB2312" w:eastAsia="仿宋_GB2312" w:cs="仿宋_GB2312"/>
          <w:b/>
          <w:bCs/>
          <w:color w:val="0C0C0C"/>
          <w:kern w:val="0"/>
          <w:sz w:val="32"/>
          <w:szCs w:val="32"/>
          <w:lang w:val="en-US" w:eastAsia="zh-CN" w:bidi="ar-SA"/>
        </w:rPr>
      </w:pPr>
      <w:bookmarkStart w:id="88" w:name="_bookmark22"/>
      <w:bookmarkEnd w:id="88"/>
      <w:bookmarkStart w:id="89" w:name="_bookmark21"/>
      <w:bookmarkEnd w:id="89"/>
      <w:bookmarkStart w:id="90" w:name="_Toc2552"/>
      <w:r>
        <w:rPr>
          <w:rFonts w:hint="eastAsia" w:ascii="仿宋_GB2312" w:hAnsi="仿宋_GB2312" w:eastAsia="仿宋_GB2312" w:cs="仿宋_GB2312"/>
          <w:b/>
          <w:bCs/>
          <w:color w:val="0C0C0C"/>
          <w:kern w:val="0"/>
          <w:sz w:val="32"/>
          <w:szCs w:val="32"/>
          <w:lang w:val="en-US" w:eastAsia="zh-CN" w:bidi="ar-SA"/>
        </w:rPr>
        <w:t>6.4.1 完善制度、目标和标准体系， 打造“三链”</w:t>
      </w:r>
      <w:bookmarkEnd w:id="90"/>
    </w:p>
    <w:p>
      <w:pPr>
        <w:spacing w:before="223" w:line="402" w:lineRule="auto"/>
        <w:ind w:right="11" w:firstLine="640" w:firstLineChars="200"/>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学校梳理现有制度，形成《鹰潭应用工程学校管理工作制度》《教学管理制度》《学生管理制度》制度汇编3册共计200余个制度。同时在学校、专业、课程、教师和学生层面建立相关诊改制度。紧扣目标任务实施的“事前、事中、事后”三个环节，旨在形成“制度管人、流程管事、数据说话、自我诊改”的内部治理常态。通过规划体系和标准体系的建设，打造了学校事业建设的两链，建设鹰潭应用工程学校学校十三五规划、各专项规划，形成了专业建设标准、学生三星四星五星成长标准及部分工作标准，形成了上下衔接、左右贯通的目标链和标准链。</w:t>
      </w:r>
    </w:p>
    <w:p>
      <w:pPr>
        <w:pStyle w:val="5"/>
        <w:bidi w:val="0"/>
        <w:rPr>
          <w:rFonts w:hint="eastAsia" w:ascii="仿宋_GB2312" w:hAnsi="仿宋_GB2312" w:eastAsia="仿宋_GB2312" w:cs="仿宋_GB2312"/>
          <w:b/>
          <w:bCs/>
          <w:color w:val="0C0C0C"/>
          <w:kern w:val="0"/>
          <w:sz w:val="32"/>
          <w:szCs w:val="32"/>
          <w:lang w:val="en-US" w:eastAsia="zh-CN" w:bidi="ar-SA"/>
        </w:rPr>
      </w:pPr>
      <w:bookmarkStart w:id="91" w:name="_Toc24732"/>
      <w:r>
        <w:rPr>
          <w:rFonts w:hint="eastAsia" w:ascii="仿宋_GB2312" w:hAnsi="仿宋_GB2312" w:eastAsia="仿宋_GB2312" w:cs="仿宋_GB2312"/>
          <w:b/>
          <w:bCs/>
          <w:color w:val="0C0C0C"/>
          <w:kern w:val="0"/>
          <w:sz w:val="32"/>
          <w:szCs w:val="32"/>
          <w:lang w:val="en-US" w:eastAsia="zh-CN" w:bidi="ar-SA"/>
        </w:rPr>
        <w:t>6.4.2 分步实施，建设人才培养质量保证体系平台</w:t>
      </w:r>
      <w:bookmarkEnd w:id="91"/>
    </w:p>
    <w:p>
      <w:pPr>
        <w:spacing w:before="223" w:line="402" w:lineRule="auto"/>
        <w:ind w:right="11" w:firstLine="640" w:firstLineChars="200"/>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在学校内部质量保证体系框架指导下，以学校、专业、教师、课程、学生五个层面为诊断项目，按照“决策指挥、资源建设、服务支持、质量生成、监督控制”五个环节的控制主线系统制定了五个层面的质控点和质量诊断指标。 根据诊断指标体系，明确诊断指标的数据来源、数据内涵、质量标准、责任部门、诊断结果反馈方式等内容分三期逐步完成了鹰潭应用工程学校人才培养质量保证体系平台的建设。</w:t>
      </w:r>
    </w:p>
    <w:p>
      <w:pPr>
        <w:pStyle w:val="5"/>
        <w:bidi w:val="0"/>
        <w:rPr>
          <w:rFonts w:hint="eastAsia" w:ascii="仿宋_GB2312" w:hAnsi="仿宋_GB2312" w:eastAsia="仿宋_GB2312" w:cs="仿宋_GB2312"/>
          <w:b/>
          <w:bCs/>
          <w:color w:val="0C0C0C"/>
          <w:kern w:val="0"/>
          <w:sz w:val="32"/>
          <w:szCs w:val="32"/>
          <w:lang w:val="en-US" w:eastAsia="zh-CN" w:bidi="ar-SA"/>
        </w:rPr>
      </w:pPr>
      <w:bookmarkStart w:id="92" w:name="_Toc32518"/>
      <w:r>
        <w:rPr>
          <w:rFonts w:hint="eastAsia" w:ascii="仿宋_GB2312" w:hAnsi="仿宋_GB2312" w:eastAsia="仿宋_GB2312" w:cs="仿宋_GB2312"/>
          <w:b/>
          <w:bCs/>
          <w:color w:val="0C0C0C"/>
          <w:kern w:val="0"/>
          <w:sz w:val="32"/>
          <w:szCs w:val="32"/>
          <w:lang w:val="en-US" w:eastAsia="zh-CN" w:bidi="ar-SA"/>
        </w:rPr>
        <w:t>6.4.3 分层培育， 形成现代校园质量文化</w:t>
      </w:r>
      <w:bookmarkEnd w:id="92"/>
    </w:p>
    <w:p>
      <w:pPr>
        <w:spacing w:before="223" w:line="402" w:lineRule="auto"/>
        <w:ind w:right="11" w:firstLine="640" w:firstLineChars="200"/>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建设校园质量文化，培育全员质量意识是学校内部质量保证体系建设工作的愿景目标，也是学校内部质量保证体系建设的基础。自 2017 年学校诊断与改进工作启动以来，学校分三个层次的逐步培育了学校的质量文化。一是通过积 极组织理念培训和开设专栏宣传等手段普及质量文化，让全校师生知晓质量内涵；二是通过针对不同层面的工作内容和责任主体开展内涵研讨及培训，将质量文化从操作层面深入具体的工作和个人，建立了全员参与质量生成、维护的途径，引导师生认同质量。三是质量建构。以质量标准为中心，细化工作目标，确定每位主体的作用，使全员清楚自己在质量生成中的作用，进一步调动和发挥全员的积极性和主动性，以正确的质量文化指引自身行为，培养全员质量生成的主动性和自觉性。</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93" w:name="_Toc12664"/>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6.5经费投入</w:t>
      </w:r>
      <w:bookmarkEnd w:id="93"/>
    </w:p>
    <w:p>
      <w:pPr>
        <w:pStyle w:val="14"/>
        <w:spacing w:line="600" w:lineRule="exact"/>
        <w:ind w:firstLine="640" w:firstLineChars="200"/>
        <w:jc w:val="both"/>
        <w:rPr>
          <w:rFonts w:hint="eastAsia" w:ascii="仿宋_GB2312" w:hAnsi="仿宋_GB2312" w:eastAsia="仿宋_GB2312" w:cs="仿宋_GB2312"/>
          <w:color w:val="0C0C0C"/>
          <w:kern w:val="0"/>
          <w:sz w:val="32"/>
          <w:szCs w:val="32"/>
          <w:lang w:val="en-US" w:eastAsia="zh-CN" w:bidi="ar-SA"/>
        </w:rPr>
      </w:pPr>
      <w:r>
        <w:rPr>
          <w:rFonts w:hint="eastAsia" w:ascii="仿宋_GB2312" w:hAnsi="仿宋_GB2312" w:eastAsia="仿宋_GB2312" w:cs="仿宋_GB2312"/>
          <w:color w:val="0C0C0C"/>
          <w:kern w:val="0"/>
          <w:sz w:val="32"/>
          <w:szCs w:val="32"/>
          <w:lang w:val="en-US" w:eastAsia="zh-CN" w:bidi="ar-SA"/>
        </w:rPr>
        <w:t>2022年学校总收入2936万，生均教育经费3864元，达到省定标准3000元的1.29倍。</w:t>
      </w:r>
    </w:p>
    <w:p>
      <w:pPr>
        <w:pStyle w:val="14"/>
        <w:numPr>
          <w:ilvl w:val="0"/>
          <w:numId w:val="0"/>
        </w:numPr>
        <w:spacing w:line="600" w:lineRule="exact"/>
        <w:jc w:val="both"/>
        <w:outlineLvl w:val="0"/>
        <w:rPr>
          <w:rFonts w:hint="eastAsia" w:ascii="黑体" w:hAnsi="黑体" w:eastAsia="黑体" w:cs="黑体"/>
          <w:b/>
          <w:bCs/>
          <w:color w:val="000000"/>
          <w:spacing w:val="0"/>
          <w:w w:val="100"/>
          <w:kern w:val="2"/>
          <w:position w:val="0"/>
          <w:sz w:val="32"/>
          <w:szCs w:val="32"/>
          <w:u w:val="none"/>
          <w:shd w:val="clear" w:color="auto" w:fill="auto"/>
          <w:lang w:val="en-US" w:eastAsia="zh-CN" w:bidi="zh-TW"/>
        </w:rPr>
      </w:pPr>
      <w:bookmarkStart w:id="94" w:name="_Toc21250"/>
      <w:r>
        <w:rPr>
          <w:rFonts w:hint="eastAsia" w:ascii="黑体" w:hAnsi="黑体" w:eastAsia="黑体" w:cs="黑体"/>
          <w:b/>
          <w:bCs/>
          <w:color w:val="000000"/>
          <w:spacing w:val="0"/>
          <w:w w:val="100"/>
          <w:kern w:val="2"/>
          <w:position w:val="0"/>
          <w:sz w:val="32"/>
          <w:szCs w:val="32"/>
          <w:u w:val="none"/>
          <w:shd w:val="clear" w:color="auto" w:fill="auto"/>
          <w:lang w:val="en-US" w:eastAsia="zh-CN" w:bidi="zh-TW"/>
        </w:rPr>
        <w:t>7.面临挑战</w:t>
      </w:r>
      <w:bookmarkEnd w:id="94"/>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95" w:name="_Toc2405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7.1主要问题</w:t>
      </w:r>
      <w:bookmarkEnd w:id="95"/>
    </w:p>
    <w:p>
      <w:pPr>
        <w:pStyle w:val="5"/>
        <w:bidi w:val="0"/>
        <w:rPr>
          <w:rFonts w:hint="eastAsia" w:ascii="仿宋_GB2312" w:hAnsi="仿宋_GB2312" w:eastAsia="仿宋_GB2312" w:cs="仿宋_GB2312"/>
          <w:b/>
          <w:bCs/>
          <w:color w:val="0C0C0C"/>
          <w:kern w:val="0"/>
          <w:sz w:val="32"/>
          <w:szCs w:val="32"/>
          <w:lang w:val="en-US" w:eastAsia="zh-CN" w:bidi="ar-SA"/>
        </w:rPr>
      </w:pPr>
      <w:bookmarkStart w:id="96" w:name="_Toc24554"/>
      <w:r>
        <w:rPr>
          <w:rFonts w:hint="eastAsia" w:ascii="仿宋_GB2312" w:hAnsi="仿宋_GB2312" w:eastAsia="仿宋_GB2312" w:cs="仿宋_GB2312"/>
          <w:b/>
          <w:bCs/>
          <w:color w:val="0C0C0C"/>
          <w:kern w:val="0"/>
          <w:sz w:val="32"/>
          <w:szCs w:val="32"/>
          <w:lang w:val="en-US" w:eastAsia="zh-CN" w:bidi="ar-SA"/>
        </w:rPr>
        <w:t>7.1.1高水平双师型师资队伍建设亟待强化</w:t>
      </w:r>
      <w:bookmarkEnd w:id="96"/>
    </w:p>
    <w:p>
      <w:pPr>
        <w:pStyle w:val="5"/>
        <w:bidi w:val="0"/>
        <w:ind w:firstLine="640" w:firstLineChars="200"/>
        <w:rPr>
          <w:rFonts w:hint="eastAsia" w:ascii="仿宋_GB2312" w:hAnsi="仿宋_GB2312" w:eastAsia="仿宋_GB2312" w:cs="仿宋_GB2312"/>
          <w:b w:val="0"/>
          <w:bCs/>
          <w:color w:val="0C0C0C"/>
          <w:sz w:val="32"/>
          <w:szCs w:val="32"/>
        </w:rPr>
      </w:pPr>
      <w:bookmarkStart w:id="97" w:name="_Toc23901"/>
      <w:bookmarkStart w:id="98" w:name="_Toc29852"/>
      <w:r>
        <w:rPr>
          <w:rFonts w:hint="eastAsia" w:ascii="仿宋_GB2312" w:hAnsi="仿宋_GB2312" w:eastAsia="仿宋_GB2312" w:cs="仿宋_GB2312"/>
          <w:b w:val="0"/>
          <w:bCs/>
          <w:color w:val="0C0C0C"/>
          <w:sz w:val="32"/>
          <w:szCs w:val="32"/>
        </w:rPr>
        <w:t>高层次专兼职具备“双师”素质的教师数量不足,兼职教师的业务培训有待于加强，高层次技术技能人才及行业企业专家的引进力度仍需加强。</w:t>
      </w:r>
      <w:bookmarkEnd w:id="97"/>
      <w:bookmarkEnd w:id="98"/>
    </w:p>
    <w:p>
      <w:pPr>
        <w:pStyle w:val="5"/>
        <w:bidi w:val="0"/>
        <w:ind w:firstLine="640" w:firstLineChars="200"/>
        <w:rPr>
          <w:rFonts w:hint="eastAsia" w:ascii="仿宋_GB2312" w:hAnsi="仿宋_GB2312" w:eastAsia="仿宋_GB2312" w:cs="仿宋_GB2312"/>
          <w:b w:val="0"/>
          <w:bCs/>
          <w:color w:val="0C0C0C"/>
          <w:sz w:val="32"/>
          <w:szCs w:val="32"/>
        </w:rPr>
      </w:pPr>
      <w:bookmarkStart w:id="99" w:name="_Toc22500"/>
      <w:bookmarkStart w:id="100" w:name="_Toc19585"/>
      <w:r>
        <w:rPr>
          <w:rFonts w:hint="eastAsia" w:ascii="仿宋_GB2312" w:hAnsi="仿宋_GB2312" w:eastAsia="仿宋_GB2312" w:cs="仿宋_GB2312"/>
          <w:b w:val="0"/>
          <w:bCs/>
          <w:color w:val="0C0C0C"/>
          <w:sz w:val="32"/>
          <w:szCs w:val="32"/>
        </w:rPr>
        <w:t>学校将进一步完善师资队伍结构建设，建立健全全职、柔性、项目化合作相结合的高层次技术技能人才引进机制，加大高职称高学历人才引进力度。将兼职教师培训纳入到校内培训体系中,定期组织兼职教师参加业务培训，并加强对培训效果的考核。进一步修订完善兼职教师聘任与管理办法，引进与专业建设有深度合作关系的优质企业的高层次技能人才和技术骨干，加强产教融合,实现“优势互补、资源共享、互惠互利、共同发展”的双赢模式。</w:t>
      </w:r>
      <w:bookmarkEnd w:id="99"/>
      <w:bookmarkEnd w:id="100"/>
    </w:p>
    <w:p>
      <w:pPr>
        <w:pStyle w:val="5"/>
        <w:bidi w:val="0"/>
        <w:rPr>
          <w:rFonts w:hint="eastAsia" w:ascii="仿宋_GB2312" w:hAnsi="仿宋_GB2312" w:eastAsia="仿宋_GB2312" w:cs="仿宋_GB2312"/>
          <w:b/>
          <w:bCs/>
          <w:color w:val="0C0C0C"/>
          <w:kern w:val="0"/>
          <w:sz w:val="32"/>
          <w:szCs w:val="32"/>
          <w:lang w:val="en-US" w:eastAsia="zh-CN" w:bidi="ar-SA"/>
        </w:rPr>
      </w:pPr>
      <w:bookmarkStart w:id="101" w:name="_Toc22750"/>
      <w:r>
        <w:rPr>
          <w:rFonts w:hint="eastAsia" w:ascii="仿宋_GB2312" w:hAnsi="仿宋_GB2312" w:eastAsia="仿宋_GB2312" w:cs="仿宋_GB2312"/>
          <w:b/>
          <w:bCs/>
          <w:color w:val="0C0C0C"/>
          <w:kern w:val="0"/>
          <w:sz w:val="32"/>
          <w:szCs w:val="32"/>
          <w:lang w:val="en-US" w:eastAsia="zh-CN" w:bidi="ar-SA"/>
        </w:rPr>
        <w:t>7.1.2专业特色不明显</w:t>
      </w:r>
      <w:bookmarkEnd w:id="101"/>
    </w:p>
    <w:p>
      <w:pPr>
        <w:pStyle w:val="14"/>
        <w:spacing w:line="600" w:lineRule="exact"/>
        <w:ind w:firstLine="640" w:firstLineChars="200"/>
        <w:rPr>
          <w:rFonts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rPr>
        <w:t>学校品牌专业、优势学科少，带动作用不明显，工学结合的人才培养模式改革不够深入，校企深度合作、产教融合发展等举措在专业人才培养中的应用不够广泛。学校将进一步完善专业建设规划，适度保留就业率高、就业质量好的专科专业；按《</w:t>
      </w:r>
      <w:r>
        <w:rPr>
          <w:rFonts w:hint="eastAsia" w:ascii="仿宋_GB2312" w:hAnsi="仿宋_GB2312" w:eastAsia="仿宋_GB2312" w:cs="仿宋_GB2312"/>
          <w:color w:val="0C0C0C"/>
          <w:sz w:val="32"/>
          <w:szCs w:val="32"/>
          <w:lang w:val="en-US" w:eastAsia="zh-CN"/>
        </w:rPr>
        <w:t>鹰潭应用工程学校</w:t>
      </w:r>
      <w:r>
        <w:rPr>
          <w:rFonts w:hint="eastAsia" w:ascii="仿宋_GB2312" w:hAnsi="仿宋_GB2312" w:eastAsia="仿宋_GB2312" w:cs="仿宋_GB2312"/>
          <w:color w:val="0C0C0C"/>
          <w:sz w:val="32"/>
          <w:szCs w:val="32"/>
        </w:rPr>
        <w:t>“十四五”发展规划》和国家新专业目录及专业设置要求，紧紧围绕</w:t>
      </w:r>
      <w:r>
        <w:rPr>
          <w:rFonts w:hint="eastAsia" w:ascii="仿宋_GB2312" w:hAnsi="仿宋_GB2312" w:eastAsia="仿宋_GB2312" w:cs="仿宋_GB2312"/>
          <w:color w:val="0C0C0C"/>
          <w:sz w:val="32"/>
          <w:szCs w:val="32"/>
          <w:lang w:val="en-US" w:eastAsia="zh-CN"/>
        </w:rPr>
        <w:t>当地</w:t>
      </w:r>
      <w:r>
        <w:rPr>
          <w:rFonts w:hint="eastAsia" w:ascii="仿宋_GB2312" w:hAnsi="仿宋_GB2312" w:eastAsia="仿宋_GB2312" w:cs="仿宋_GB2312"/>
          <w:color w:val="0C0C0C"/>
          <w:sz w:val="32"/>
          <w:szCs w:val="32"/>
        </w:rPr>
        <w:t>经济区的发展需求和职业岗位群的需要，重点建设专业设置与产业需求对接的专业群。积极与市商务局和相关企业对接，创新产教融合制度和模式，推动企业将产业需求更好融入人才培养过程，构建服务支撑产业重大需求的技术技能人才和创新创业人才培养体 系，形成教育和产业统筹融合、良性互动的发展格局。</w:t>
      </w:r>
    </w:p>
    <w:p>
      <w:pPr>
        <w:pStyle w:val="5"/>
        <w:bidi w:val="0"/>
        <w:rPr>
          <w:rFonts w:hint="eastAsia" w:ascii="仿宋_GB2312" w:hAnsi="仿宋_GB2312" w:eastAsia="仿宋_GB2312" w:cs="仿宋_GB2312"/>
          <w:b/>
          <w:bCs/>
          <w:color w:val="0C0C0C"/>
          <w:kern w:val="0"/>
          <w:sz w:val="32"/>
          <w:szCs w:val="32"/>
          <w:lang w:val="en-US" w:eastAsia="zh-CN" w:bidi="ar-SA"/>
        </w:rPr>
      </w:pPr>
      <w:bookmarkStart w:id="102" w:name="_Toc26804"/>
      <w:r>
        <w:rPr>
          <w:rFonts w:hint="eastAsia" w:ascii="仿宋_GB2312" w:hAnsi="仿宋_GB2312" w:eastAsia="仿宋_GB2312" w:cs="仿宋_GB2312"/>
          <w:b/>
          <w:bCs/>
          <w:color w:val="0C0C0C"/>
          <w:kern w:val="0"/>
          <w:sz w:val="32"/>
          <w:szCs w:val="32"/>
          <w:lang w:val="en-US" w:eastAsia="zh-CN" w:bidi="ar-SA"/>
        </w:rPr>
        <w:t>7.1.3教学诊改有待于进一步提高</w:t>
      </w:r>
      <w:bookmarkEnd w:id="102"/>
    </w:p>
    <w:p>
      <w:pPr>
        <w:pStyle w:val="14"/>
        <w:spacing w:line="600" w:lineRule="exact"/>
        <w:ind w:firstLine="640" w:firstLineChars="200"/>
        <w:rPr>
          <w:rFonts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rPr>
        <w:t>学校在推动教学诊改中还存在一些问题，教师对现代教育教学理念、观念认识不够，从事教学研究和教学改革的积极性不高，主动性不强，教学方法和手段需要进一步加强。</w:t>
      </w:r>
    </w:p>
    <w:p>
      <w:pPr>
        <w:pStyle w:val="4"/>
        <w:bidi w:val="0"/>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bookmarkStart w:id="103" w:name="_Toc5010"/>
      <w:r>
        <w:rPr>
          <w:rFonts w:hint="eastAsia" w:ascii="楷体_GB2312" w:hAnsi="楷体_GB2312" w:eastAsia="楷体_GB2312" w:cs="楷体_GB2312"/>
          <w:b/>
          <w:bCs/>
          <w:color w:val="000000"/>
          <w:spacing w:val="0"/>
          <w:w w:val="100"/>
          <w:kern w:val="2"/>
          <w:position w:val="0"/>
          <w:sz w:val="32"/>
          <w:szCs w:val="32"/>
          <w:u w:val="none"/>
          <w:shd w:val="clear" w:color="auto" w:fill="auto"/>
          <w:lang w:val="en-US" w:eastAsia="zh-CN" w:bidi="zh-TW"/>
        </w:rPr>
        <w:t>7.2改进措施</w:t>
      </w:r>
      <w:bookmarkEnd w:id="103"/>
    </w:p>
    <w:p>
      <w:pPr>
        <w:pStyle w:val="5"/>
        <w:bidi w:val="0"/>
        <w:rPr>
          <w:rFonts w:hint="eastAsia" w:ascii="仿宋_GB2312" w:hAnsi="仿宋_GB2312" w:eastAsia="仿宋_GB2312" w:cs="仿宋_GB2312"/>
          <w:b/>
          <w:bCs/>
          <w:color w:val="0C0C0C"/>
          <w:kern w:val="0"/>
          <w:sz w:val="32"/>
          <w:szCs w:val="32"/>
          <w:lang w:val="en-US" w:eastAsia="zh-CN" w:bidi="ar-SA"/>
        </w:rPr>
      </w:pPr>
      <w:bookmarkStart w:id="104" w:name="_Toc3012"/>
      <w:r>
        <w:rPr>
          <w:rFonts w:hint="eastAsia" w:ascii="仿宋_GB2312" w:hAnsi="仿宋_GB2312" w:eastAsia="仿宋_GB2312" w:cs="仿宋_GB2312"/>
          <w:b/>
          <w:bCs/>
          <w:color w:val="0C0C0C"/>
          <w:kern w:val="0"/>
          <w:sz w:val="32"/>
          <w:szCs w:val="32"/>
          <w:lang w:val="en-US" w:eastAsia="zh-CN" w:bidi="ar-SA"/>
        </w:rPr>
        <w:t>7.2.1强化校企合作、产教融合</w:t>
      </w:r>
      <w:bookmarkEnd w:id="104"/>
    </w:p>
    <w:p>
      <w:pPr>
        <w:pStyle w:val="14"/>
        <w:spacing w:line="600" w:lineRule="exact"/>
        <w:ind w:firstLine="640" w:firstLineChars="200"/>
        <w:rPr>
          <w:rFonts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lang w:val="en-US" w:eastAsia="zh-CN"/>
        </w:rPr>
        <w:t>学校加强校企合作、产教融合，学校</w:t>
      </w:r>
      <w:r>
        <w:rPr>
          <w:rFonts w:hint="eastAsia" w:ascii="仿宋_GB2312" w:hAnsi="仿宋_GB2312" w:eastAsia="仿宋_GB2312" w:cs="仿宋_GB2312"/>
          <w:color w:val="0C0C0C"/>
          <w:sz w:val="32"/>
          <w:szCs w:val="32"/>
        </w:rPr>
        <w:t>积极主动与高新区、龙虎山景区做好对接，围绕鹰潭市推进世界铜都、中华道都，深度打造加工制造专业群、旅游服务专业群；围绕智慧新城建设，积极融入“新一代宽带无线移动通信网”国家科技重大专项成果转移转化在鹰潭市试点示范，深度打造计算机</w:t>
      </w:r>
      <w:r>
        <w:rPr>
          <w:rFonts w:ascii="仿宋_GB2312" w:hAnsi="仿宋_GB2312" w:eastAsia="仿宋_GB2312" w:cs="仿宋_GB2312"/>
          <w:color w:val="0C0C0C"/>
          <w:sz w:val="32"/>
          <w:szCs w:val="32"/>
        </w:rPr>
        <w:t>+ 专业群。围绕鹰潭市余江区眼镜重点工业产业， 依托鹰潭（余江）眼镜产业园“江西</w:t>
      </w:r>
      <w:r>
        <w:rPr>
          <w:rFonts w:hint="eastAsia" w:ascii="仿宋_GB2312" w:hAnsi="仿宋_GB2312" w:eastAsia="仿宋_GB2312" w:cs="仿宋_GB2312"/>
          <w:color w:val="0C0C0C"/>
          <w:sz w:val="32"/>
          <w:szCs w:val="32"/>
        </w:rPr>
        <w:t>省眼镜产业基地”孵化器，着力打造眼镜制造（销售）</w:t>
      </w:r>
      <w:r>
        <w:rPr>
          <w:rFonts w:ascii="仿宋_GB2312" w:hAnsi="仿宋_GB2312" w:eastAsia="仿宋_GB2312" w:cs="仿宋_GB2312"/>
          <w:color w:val="0C0C0C"/>
          <w:sz w:val="32"/>
          <w:szCs w:val="32"/>
        </w:rPr>
        <w:t>+专业群。充分利用学校实习资源，结合实训课题，开展工学结合，进一步完善工学结合实训基地的管理与运行机制。与企业协同育人，实现教学过程与生产过程对接，产教融合，工学交替，合作互赢。</w:t>
      </w:r>
    </w:p>
    <w:p>
      <w:pPr>
        <w:pStyle w:val="5"/>
        <w:bidi w:val="0"/>
        <w:rPr>
          <w:rFonts w:hint="default" w:ascii="仿宋_GB2312" w:hAnsi="仿宋_GB2312" w:eastAsia="仿宋_GB2312" w:cs="仿宋_GB2312"/>
          <w:b/>
          <w:bCs/>
          <w:color w:val="0C0C0C"/>
          <w:kern w:val="0"/>
          <w:sz w:val="32"/>
          <w:szCs w:val="32"/>
          <w:lang w:val="en-US" w:eastAsia="zh-CN" w:bidi="ar-SA"/>
        </w:rPr>
      </w:pPr>
      <w:bookmarkStart w:id="105" w:name="_Toc24827"/>
      <w:r>
        <w:rPr>
          <w:rFonts w:hint="eastAsia" w:ascii="仿宋_GB2312" w:hAnsi="仿宋_GB2312" w:eastAsia="仿宋_GB2312" w:cs="仿宋_GB2312"/>
          <w:b/>
          <w:bCs/>
          <w:color w:val="0C0C0C"/>
          <w:kern w:val="0"/>
          <w:sz w:val="32"/>
          <w:szCs w:val="32"/>
          <w:lang w:val="en-US" w:eastAsia="zh-CN" w:bidi="ar-SA"/>
        </w:rPr>
        <w:t>7.2.2深入推进教学诊改工作</w:t>
      </w:r>
      <w:bookmarkEnd w:id="105"/>
    </w:p>
    <w:p>
      <w:pPr>
        <w:pStyle w:val="14"/>
        <w:spacing w:line="600" w:lineRule="exact"/>
        <w:ind w:firstLine="640" w:firstLineChars="200"/>
        <w:rPr>
          <w:rFonts w:ascii="仿宋_GB2312" w:hAnsi="仿宋_GB2312" w:eastAsia="仿宋_GB2312" w:cs="仿宋_GB2312"/>
          <w:color w:val="0C0C0C"/>
          <w:sz w:val="32"/>
          <w:szCs w:val="32"/>
        </w:rPr>
      </w:pPr>
      <w:r>
        <w:rPr>
          <w:rFonts w:hint="eastAsia" w:ascii="仿宋_GB2312" w:hAnsi="仿宋_GB2312" w:eastAsia="仿宋_GB2312" w:cs="仿宋_GB2312"/>
          <w:color w:val="0C0C0C"/>
          <w:sz w:val="32"/>
          <w:szCs w:val="32"/>
          <w:lang w:val="en-US" w:eastAsia="zh-CN"/>
        </w:rPr>
        <w:t>学校</w:t>
      </w:r>
      <w:r>
        <w:rPr>
          <w:rFonts w:hint="eastAsia" w:ascii="仿宋_GB2312" w:hAnsi="仿宋_GB2312" w:eastAsia="仿宋_GB2312" w:cs="仿宋_GB2312"/>
          <w:color w:val="0C0C0C"/>
          <w:sz w:val="32"/>
          <w:szCs w:val="32"/>
        </w:rPr>
        <w:t>出台激励制度，强化课程建设，鼓励教师积极参与教学诊改。通过培训、学习和精品课程、名师工作室打造等，不断提升学校教学诊改的水平。</w:t>
      </w:r>
    </w:p>
    <w:p>
      <w:pPr>
        <w:pStyle w:val="5"/>
        <w:bidi w:val="0"/>
        <w:rPr>
          <w:rFonts w:hint="default" w:ascii="仿宋_GB2312" w:hAnsi="仿宋_GB2312" w:eastAsia="仿宋_GB2312" w:cs="仿宋_GB2312"/>
          <w:b/>
          <w:bCs/>
          <w:color w:val="0C0C0C"/>
          <w:kern w:val="0"/>
          <w:sz w:val="32"/>
          <w:szCs w:val="32"/>
          <w:lang w:val="en-US" w:eastAsia="zh-CN" w:bidi="ar-SA"/>
        </w:rPr>
      </w:pPr>
      <w:bookmarkStart w:id="106" w:name="_Toc28516"/>
      <w:r>
        <w:rPr>
          <w:rFonts w:hint="eastAsia" w:ascii="仿宋_GB2312" w:hAnsi="仿宋_GB2312" w:eastAsia="仿宋_GB2312" w:cs="仿宋_GB2312"/>
          <w:b/>
          <w:bCs/>
          <w:color w:val="0C0C0C"/>
          <w:kern w:val="0"/>
          <w:sz w:val="32"/>
          <w:szCs w:val="32"/>
          <w:lang w:val="en-US" w:eastAsia="zh-CN" w:bidi="ar-SA"/>
        </w:rPr>
        <w:t>7.2.3加强教师队伍建设</w:t>
      </w:r>
      <w:bookmarkEnd w:id="106"/>
    </w:p>
    <w:p>
      <w:pPr>
        <w:pStyle w:val="14"/>
        <w:spacing w:line="600" w:lineRule="exact"/>
        <w:ind w:firstLine="640" w:firstLineChars="200"/>
        <w:rPr>
          <w:rFonts w:ascii="仿宋_GB2312" w:hAnsi="仿宋_GB2312" w:eastAsia="仿宋_GB2312" w:cs="仿宋_GB2312"/>
          <w:color w:val="0C0C0C"/>
          <w:sz w:val="32"/>
          <w:szCs w:val="32"/>
        </w:rPr>
      </w:pPr>
      <w:r>
        <w:rPr>
          <w:rFonts w:ascii="仿宋_GB2312" w:hAnsi="仿宋_GB2312" w:eastAsia="仿宋_GB2312" w:cs="仿宋_GB2312"/>
          <w:color w:val="0C0C0C"/>
          <w:sz w:val="32"/>
          <w:szCs w:val="32"/>
        </w:rPr>
        <w:t>通过统一招考、内培外引等多渠道提升师资力量，特别是加强年青骨干教师和学科带头人的建设</w:t>
      </w:r>
      <w:r>
        <w:rPr>
          <w:rFonts w:hint="eastAsia" w:ascii="仿宋_GB2312" w:hAnsi="仿宋_GB2312" w:eastAsia="仿宋_GB2312" w:cs="仿宋_GB2312"/>
          <w:color w:val="0C0C0C"/>
          <w:sz w:val="32"/>
          <w:szCs w:val="32"/>
        </w:rPr>
        <w:t>，</w:t>
      </w:r>
      <w:r>
        <w:rPr>
          <w:rFonts w:ascii="仿宋_GB2312" w:hAnsi="仿宋_GB2312" w:eastAsia="仿宋_GB2312" w:cs="仿宋_GB2312"/>
          <w:color w:val="0C0C0C"/>
          <w:sz w:val="32"/>
          <w:szCs w:val="32"/>
        </w:rPr>
        <w:t>鼓励教师参加各种培训和进行学历提升，利用寒暑假，分批次将专业教师送往企业、高校进行培养锻炼，</w:t>
      </w:r>
      <w:r>
        <w:rPr>
          <w:rFonts w:hint="eastAsia" w:ascii="仿宋_GB2312" w:hAnsi="仿宋_GB2312" w:eastAsia="仿宋_GB2312" w:cs="仿宋_GB2312"/>
          <w:color w:val="0C0C0C"/>
          <w:sz w:val="32"/>
          <w:szCs w:val="32"/>
        </w:rPr>
        <w:t>加强学校双师型教师队伍建设。</w:t>
      </w:r>
    </w:p>
    <w:p>
      <w:pPr>
        <w:pStyle w:val="14"/>
        <w:numPr>
          <w:ilvl w:val="0"/>
          <w:numId w:val="0"/>
        </w:numPr>
        <w:spacing w:line="600" w:lineRule="exact"/>
        <w:jc w:val="both"/>
        <w:outlineLvl w:val="0"/>
        <w:rPr>
          <w:rFonts w:hint="default" w:ascii="黑体" w:hAnsi="黑体" w:eastAsia="黑体" w:cs="黑体"/>
          <w:b/>
          <w:bCs/>
          <w:color w:val="000000"/>
          <w:spacing w:val="0"/>
          <w:w w:val="100"/>
          <w:kern w:val="2"/>
          <w:position w:val="0"/>
          <w:sz w:val="32"/>
          <w:szCs w:val="32"/>
          <w:u w:val="none"/>
          <w:shd w:val="clear" w:color="auto" w:fill="auto"/>
          <w:lang w:val="en-US" w:eastAsia="zh-CN" w:bidi="zh-TW"/>
        </w:rPr>
      </w:pPr>
    </w:p>
    <w:p>
      <w:pPr>
        <w:rPr>
          <w:rFonts w:hint="default" w:ascii="楷体_GB2312" w:hAnsi="楷体_GB2312" w:eastAsia="楷体_GB2312" w:cs="楷体_GB2312"/>
          <w:b/>
          <w:bCs/>
          <w:color w:val="000000"/>
          <w:spacing w:val="0"/>
          <w:w w:val="100"/>
          <w:kern w:val="2"/>
          <w:position w:val="0"/>
          <w:sz w:val="32"/>
          <w:szCs w:val="32"/>
          <w:u w:val="none"/>
          <w:shd w:val="clear" w:color="auto" w:fill="auto"/>
          <w:lang w:val="en-US" w:eastAsia="zh-CN" w:bidi="zh-TW"/>
        </w:rPr>
      </w:pPr>
    </w:p>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auto"/>
    <w:pitch w:val="default"/>
    <w:sig w:usb0="00000000" w:usb1="00000000" w:usb2="00000000" w:usb3="00000000" w:csb0="00040000" w:csb1="00000000"/>
  </w:font>
  <w:font w:name="方正小标宋简体">
    <w:altName w:val="方正舒体"/>
    <w:panose1 w:val="03000509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方正黑体简体">
    <w:altName w:val="微软雅黑"/>
    <w:panose1 w:val="00000000000000000000"/>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Microsoft YaHei UI">
    <w:panose1 w:val="020B0503020204020204"/>
    <w:charset w:val="86"/>
    <w:family w:val="auto"/>
    <w:pitch w:val="default"/>
    <w:sig w:usb0="80000287" w:usb1="2ACF3C50" w:usb2="00000016" w:usb3="00000000" w:csb0="0004001F"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YyYzk3YjMxYjhjNTg0MGFjNWY5ODI2NDA1YmFkMmYifQ=="/>
  </w:docVars>
  <w:rsids>
    <w:rsidRoot w:val="00040C04"/>
    <w:rsid w:val="00011C76"/>
    <w:rsid w:val="00035ED4"/>
    <w:rsid w:val="00040C04"/>
    <w:rsid w:val="00065872"/>
    <w:rsid w:val="00070BEF"/>
    <w:rsid w:val="000714F8"/>
    <w:rsid w:val="00083069"/>
    <w:rsid w:val="000A1A72"/>
    <w:rsid w:val="000B775A"/>
    <w:rsid w:val="000D58AC"/>
    <w:rsid w:val="001079F5"/>
    <w:rsid w:val="00171E83"/>
    <w:rsid w:val="001727FB"/>
    <w:rsid w:val="00187F5F"/>
    <w:rsid w:val="001A11EE"/>
    <w:rsid w:val="001F473D"/>
    <w:rsid w:val="001F6BD8"/>
    <w:rsid w:val="002604AE"/>
    <w:rsid w:val="00265D0D"/>
    <w:rsid w:val="0027318E"/>
    <w:rsid w:val="00290FFD"/>
    <w:rsid w:val="002945E9"/>
    <w:rsid w:val="002A1112"/>
    <w:rsid w:val="002C21C7"/>
    <w:rsid w:val="002C2D8B"/>
    <w:rsid w:val="003329CE"/>
    <w:rsid w:val="00390F6C"/>
    <w:rsid w:val="003C64A8"/>
    <w:rsid w:val="0040163E"/>
    <w:rsid w:val="00453DB4"/>
    <w:rsid w:val="00485BBC"/>
    <w:rsid w:val="004928BD"/>
    <w:rsid w:val="004B144C"/>
    <w:rsid w:val="004B340D"/>
    <w:rsid w:val="004B67B9"/>
    <w:rsid w:val="005151AE"/>
    <w:rsid w:val="005D12D3"/>
    <w:rsid w:val="00640244"/>
    <w:rsid w:val="006650E2"/>
    <w:rsid w:val="00686B80"/>
    <w:rsid w:val="006B394B"/>
    <w:rsid w:val="006C55BC"/>
    <w:rsid w:val="006E6EBE"/>
    <w:rsid w:val="006F2549"/>
    <w:rsid w:val="00771324"/>
    <w:rsid w:val="00796B25"/>
    <w:rsid w:val="008070AB"/>
    <w:rsid w:val="008436A1"/>
    <w:rsid w:val="008452E0"/>
    <w:rsid w:val="00881636"/>
    <w:rsid w:val="00892114"/>
    <w:rsid w:val="008D2A09"/>
    <w:rsid w:val="008D467E"/>
    <w:rsid w:val="008E394B"/>
    <w:rsid w:val="00910799"/>
    <w:rsid w:val="009D1A75"/>
    <w:rsid w:val="009D2233"/>
    <w:rsid w:val="009E68AC"/>
    <w:rsid w:val="00A35DFF"/>
    <w:rsid w:val="00A517AB"/>
    <w:rsid w:val="00A57F5E"/>
    <w:rsid w:val="00A84781"/>
    <w:rsid w:val="00AA49E8"/>
    <w:rsid w:val="00B301C0"/>
    <w:rsid w:val="00B40A5C"/>
    <w:rsid w:val="00B424D5"/>
    <w:rsid w:val="00B70403"/>
    <w:rsid w:val="00B93159"/>
    <w:rsid w:val="00BB3B4A"/>
    <w:rsid w:val="00C3247E"/>
    <w:rsid w:val="00C65FF1"/>
    <w:rsid w:val="00CA7948"/>
    <w:rsid w:val="00CE6ECC"/>
    <w:rsid w:val="00CF1CA0"/>
    <w:rsid w:val="00CF6E07"/>
    <w:rsid w:val="00D316F0"/>
    <w:rsid w:val="00D46BDE"/>
    <w:rsid w:val="00D64466"/>
    <w:rsid w:val="00D76085"/>
    <w:rsid w:val="00D90ACD"/>
    <w:rsid w:val="00DB2E4B"/>
    <w:rsid w:val="00DE5BA8"/>
    <w:rsid w:val="00DF5660"/>
    <w:rsid w:val="00E14BB6"/>
    <w:rsid w:val="00E17D2C"/>
    <w:rsid w:val="00E35DEE"/>
    <w:rsid w:val="00E51C30"/>
    <w:rsid w:val="00EA0F48"/>
    <w:rsid w:val="00EA2E53"/>
    <w:rsid w:val="00EE057E"/>
    <w:rsid w:val="00F14365"/>
    <w:rsid w:val="00F75DF7"/>
    <w:rsid w:val="00F87792"/>
    <w:rsid w:val="00F87EE3"/>
    <w:rsid w:val="00FC2A45"/>
    <w:rsid w:val="00FD7550"/>
    <w:rsid w:val="00FF3903"/>
    <w:rsid w:val="00FF3B25"/>
    <w:rsid w:val="014903F8"/>
    <w:rsid w:val="016A2337"/>
    <w:rsid w:val="033124A2"/>
    <w:rsid w:val="03483E9E"/>
    <w:rsid w:val="034A70C0"/>
    <w:rsid w:val="061277CE"/>
    <w:rsid w:val="0AC125FA"/>
    <w:rsid w:val="0AC37758"/>
    <w:rsid w:val="0B01069A"/>
    <w:rsid w:val="0BF12EBF"/>
    <w:rsid w:val="0DF9763E"/>
    <w:rsid w:val="0E1C5AFD"/>
    <w:rsid w:val="0ECF630A"/>
    <w:rsid w:val="0F802007"/>
    <w:rsid w:val="0FE914A3"/>
    <w:rsid w:val="106403C9"/>
    <w:rsid w:val="133C27BC"/>
    <w:rsid w:val="148424DB"/>
    <w:rsid w:val="15E515C3"/>
    <w:rsid w:val="19E0120E"/>
    <w:rsid w:val="1AC87709"/>
    <w:rsid w:val="1B853E12"/>
    <w:rsid w:val="1BCA3093"/>
    <w:rsid w:val="1D445D7D"/>
    <w:rsid w:val="1E2B25C9"/>
    <w:rsid w:val="1E817A2C"/>
    <w:rsid w:val="201C0B1E"/>
    <w:rsid w:val="21F174C7"/>
    <w:rsid w:val="220313AC"/>
    <w:rsid w:val="22431452"/>
    <w:rsid w:val="27CB526A"/>
    <w:rsid w:val="283659BC"/>
    <w:rsid w:val="28B534C7"/>
    <w:rsid w:val="2987256D"/>
    <w:rsid w:val="2A5439AE"/>
    <w:rsid w:val="2B532195"/>
    <w:rsid w:val="2C151E70"/>
    <w:rsid w:val="2E074870"/>
    <w:rsid w:val="2ECC7067"/>
    <w:rsid w:val="2F892CAE"/>
    <w:rsid w:val="30E06378"/>
    <w:rsid w:val="31840098"/>
    <w:rsid w:val="3195601A"/>
    <w:rsid w:val="3357378F"/>
    <w:rsid w:val="343F56BB"/>
    <w:rsid w:val="34727975"/>
    <w:rsid w:val="36C1795D"/>
    <w:rsid w:val="386E302B"/>
    <w:rsid w:val="39B44457"/>
    <w:rsid w:val="3A730922"/>
    <w:rsid w:val="3AB637EE"/>
    <w:rsid w:val="3DE26D96"/>
    <w:rsid w:val="40E63D94"/>
    <w:rsid w:val="415868A4"/>
    <w:rsid w:val="41C8610E"/>
    <w:rsid w:val="42356C00"/>
    <w:rsid w:val="436266BA"/>
    <w:rsid w:val="44167B73"/>
    <w:rsid w:val="448E4142"/>
    <w:rsid w:val="44B81FF1"/>
    <w:rsid w:val="44BE1F2E"/>
    <w:rsid w:val="46E85922"/>
    <w:rsid w:val="47B44B3E"/>
    <w:rsid w:val="48234388"/>
    <w:rsid w:val="488C722E"/>
    <w:rsid w:val="49340DFB"/>
    <w:rsid w:val="498419A8"/>
    <w:rsid w:val="4A4A2ACF"/>
    <w:rsid w:val="4B586A3E"/>
    <w:rsid w:val="4B6E0A3F"/>
    <w:rsid w:val="4C42398C"/>
    <w:rsid w:val="4CD75B61"/>
    <w:rsid w:val="4DAE70BE"/>
    <w:rsid w:val="4F846A83"/>
    <w:rsid w:val="50B40E36"/>
    <w:rsid w:val="50E011CA"/>
    <w:rsid w:val="51301297"/>
    <w:rsid w:val="54190DAB"/>
    <w:rsid w:val="54CE1D5A"/>
    <w:rsid w:val="570B08C3"/>
    <w:rsid w:val="5B2F7690"/>
    <w:rsid w:val="5E611AA9"/>
    <w:rsid w:val="5ED47653"/>
    <w:rsid w:val="5F39489B"/>
    <w:rsid w:val="600E1323"/>
    <w:rsid w:val="60326087"/>
    <w:rsid w:val="61ED040A"/>
    <w:rsid w:val="62391C3D"/>
    <w:rsid w:val="63C16AE0"/>
    <w:rsid w:val="667F3589"/>
    <w:rsid w:val="67555A5D"/>
    <w:rsid w:val="69176E77"/>
    <w:rsid w:val="69C441F3"/>
    <w:rsid w:val="6A4508D1"/>
    <w:rsid w:val="6AA84260"/>
    <w:rsid w:val="6B3158B9"/>
    <w:rsid w:val="6C26551D"/>
    <w:rsid w:val="6E1A1565"/>
    <w:rsid w:val="6EC449EC"/>
    <w:rsid w:val="6F1572A0"/>
    <w:rsid w:val="6FBB5FAC"/>
    <w:rsid w:val="6FC808E6"/>
    <w:rsid w:val="7529373D"/>
    <w:rsid w:val="763865FE"/>
    <w:rsid w:val="76A35191"/>
    <w:rsid w:val="773501BA"/>
    <w:rsid w:val="77C21D2F"/>
    <w:rsid w:val="7950173C"/>
    <w:rsid w:val="7A241058"/>
    <w:rsid w:val="7A817AAA"/>
    <w:rsid w:val="7E0358D6"/>
    <w:rsid w:val="7EAD3051"/>
    <w:rsid w:val="7F185223"/>
    <w:rsid w:val="7F2B3C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5"/>
    <w:qFormat/>
    <w:uiPriority w:val="9"/>
    <w:pPr>
      <w:keepNext/>
      <w:keepLines/>
      <w:spacing w:before="340" w:after="330" w:line="578" w:lineRule="auto"/>
      <w:outlineLvl w:val="0"/>
    </w:pPr>
    <w:rPr>
      <w:b/>
      <w:bCs/>
      <w:kern w:val="44"/>
      <w:sz w:val="44"/>
      <w:szCs w:val="44"/>
    </w:rPr>
  </w:style>
  <w:style w:type="paragraph" w:styleId="4">
    <w:name w:val="heading 2"/>
    <w:basedOn w:val="1"/>
    <w:next w:val="1"/>
    <w:unhideWhenUsed/>
    <w:qFormat/>
    <w:uiPriority w:val="9"/>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link w:val="21"/>
    <w:unhideWhenUsed/>
    <w:qFormat/>
    <w:uiPriority w:val="0"/>
    <w:pPr>
      <w:widowControl/>
      <w:spacing w:before="100" w:beforeAutospacing="1" w:after="100" w:afterAutospacing="1"/>
      <w:jc w:val="left"/>
      <w:outlineLvl w:val="2"/>
    </w:pPr>
    <w:rPr>
      <w:rFonts w:hint="eastAsia" w:ascii="宋体" w:hAnsi="宋体" w:eastAsia="宋体" w:cs="Times New Roman"/>
      <w:b/>
      <w:kern w:val="0"/>
      <w:sz w:val="27"/>
      <w:szCs w:val="27"/>
    </w:rPr>
  </w:style>
  <w:style w:type="paragraph" w:styleId="6">
    <w:name w:val="heading 4"/>
    <w:basedOn w:val="1"/>
    <w:next w:val="1"/>
    <w:link w:val="22"/>
    <w:unhideWhenUsed/>
    <w:qFormat/>
    <w:uiPriority w:val="0"/>
    <w:pPr>
      <w:widowControl/>
      <w:spacing w:before="100" w:beforeAutospacing="1" w:after="100" w:afterAutospacing="1"/>
      <w:jc w:val="left"/>
      <w:outlineLvl w:val="3"/>
    </w:pPr>
    <w:rPr>
      <w:rFonts w:hint="eastAsia" w:ascii="宋体" w:hAnsi="宋体" w:eastAsia="宋体" w:cs="Times New Roman"/>
      <w:b/>
      <w:kern w:val="0"/>
      <w:sz w:val="24"/>
      <w:szCs w:val="24"/>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link w:val="24"/>
    <w:qFormat/>
    <w:uiPriority w:val="0"/>
    <w:pPr>
      <w:ind w:firstLine="420" w:firstLineChars="200"/>
    </w:pPr>
    <w:rPr>
      <w:rFonts w:ascii="Calibri" w:hAnsi="Calibri" w:eastAsia="宋体" w:cs="Times New Roman"/>
      <w:szCs w:val="24"/>
    </w:rPr>
  </w:style>
  <w:style w:type="paragraph" w:styleId="7">
    <w:name w:val="Body Text"/>
    <w:basedOn w:val="1"/>
    <w:qFormat/>
    <w:uiPriority w:val="0"/>
    <w:rPr>
      <w:rFonts w:ascii="仿宋_GB2312" w:hAnsi="仿宋_GB2312" w:eastAsia="仿宋_GB2312" w:cs="仿宋_GB2312"/>
      <w:sz w:val="32"/>
      <w:szCs w:val="32"/>
      <w:lang w:val="zh-CN" w:eastAsia="zh-CN" w:bidi="zh-CN"/>
    </w:rPr>
  </w:style>
  <w:style w:type="paragraph" w:styleId="8">
    <w:name w:val="Body Text Indent"/>
    <w:basedOn w:val="1"/>
    <w:link w:val="23"/>
    <w:semiHidden/>
    <w:unhideWhenUsed/>
    <w:qFormat/>
    <w:uiPriority w:val="99"/>
    <w:pPr>
      <w:spacing w:after="120"/>
      <w:ind w:left="420" w:leftChars="200"/>
    </w:pPr>
  </w:style>
  <w:style w:type="paragraph" w:styleId="9">
    <w:name w:val="toc 3"/>
    <w:basedOn w:val="1"/>
    <w:next w:val="1"/>
    <w:semiHidden/>
    <w:unhideWhenUsed/>
    <w:qFormat/>
    <w:uiPriority w:val="39"/>
    <w:pPr>
      <w:ind w:left="840" w:leftChars="400"/>
    </w:pPr>
  </w:style>
  <w:style w:type="paragraph" w:styleId="10">
    <w:name w:val="footer"/>
    <w:basedOn w:val="1"/>
    <w:link w:val="20"/>
    <w:unhideWhenUsed/>
    <w:qFormat/>
    <w:uiPriority w:val="99"/>
    <w:pPr>
      <w:tabs>
        <w:tab w:val="center" w:pos="4153"/>
        <w:tab w:val="right" w:pos="8306"/>
      </w:tabs>
      <w:snapToGrid w:val="0"/>
      <w:jc w:val="left"/>
    </w:pPr>
    <w:rPr>
      <w:sz w:val="18"/>
      <w:szCs w:val="18"/>
    </w:rPr>
  </w:style>
  <w:style w:type="paragraph" w:styleId="11">
    <w:name w:val="header"/>
    <w:basedOn w:val="1"/>
    <w:link w:val="19"/>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semiHidden/>
    <w:unhideWhenUsed/>
    <w:qFormat/>
    <w:uiPriority w:val="39"/>
  </w:style>
  <w:style w:type="paragraph" w:styleId="13">
    <w:name w:val="toc 2"/>
    <w:basedOn w:val="1"/>
    <w:next w:val="1"/>
    <w:semiHidden/>
    <w:unhideWhenUsed/>
    <w:qFormat/>
    <w:uiPriority w:val="39"/>
    <w:pPr>
      <w:ind w:left="420" w:leftChars="200"/>
    </w:pPr>
  </w:style>
  <w:style w:type="paragraph" w:styleId="1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22"/>
    <w:rPr>
      <w:b/>
    </w:rPr>
  </w:style>
  <w:style w:type="character" w:customStyle="1" w:styleId="19">
    <w:name w:val="页眉 字符"/>
    <w:basedOn w:val="17"/>
    <w:link w:val="11"/>
    <w:qFormat/>
    <w:uiPriority w:val="99"/>
    <w:rPr>
      <w:sz w:val="18"/>
      <w:szCs w:val="18"/>
    </w:rPr>
  </w:style>
  <w:style w:type="character" w:customStyle="1" w:styleId="20">
    <w:name w:val="页脚 字符"/>
    <w:basedOn w:val="17"/>
    <w:link w:val="10"/>
    <w:qFormat/>
    <w:uiPriority w:val="99"/>
    <w:rPr>
      <w:sz w:val="18"/>
      <w:szCs w:val="18"/>
    </w:rPr>
  </w:style>
  <w:style w:type="character" w:customStyle="1" w:styleId="21">
    <w:name w:val="标题 3 字符"/>
    <w:basedOn w:val="17"/>
    <w:link w:val="5"/>
    <w:qFormat/>
    <w:uiPriority w:val="0"/>
    <w:rPr>
      <w:rFonts w:ascii="宋体" w:hAnsi="宋体" w:eastAsia="宋体" w:cs="Times New Roman"/>
      <w:b/>
      <w:kern w:val="0"/>
      <w:sz w:val="27"/>
      <w:szCs w:val="27"/>
    </w:rPr>
  </w:style>
  <w:style w:type="character" w:customStyle="1" w:styleId="22">
    <w:name w:val="标题 4 字符"/>
    <w:basedOn w:val="17"/>
    <w:link w:val="6"/>
    <w:qFormat/>
    <w:uiPriority w:val="0"/>
    <w:rPr>
      <w:rFonts w:ascii="宋体" w:hAnsi="宋体" w:eastAsia="宋体" w:cs="Times New Roman"/>
      <w:b/>
      <w:kern w:val="0"/>
      <w:sz w:val="24"/>
      <w:szCs w:val="24"/>
    </w:rPr>
  </w:style>
  <w:style w:type="character" w:customStyle="1" w:styleId="23">
    <w:name w:val="正文文本缩进 字符"/>
    <w:basedOn w:val="17"/>
    <w:link w:val="8"/>
    <w:semiHidden/>
    <w:qFormat/>
    <w:uiPriority w:val="99"/>
  </w:style>
  <w:style w:type="character" w:customStyle="1" w:styleId="24">
    <w:name w:val="正文首行缩进 2 字符"/>
    <w:basedOn w:val="23"/>
    <w:link w:val="2"/>
    <w:qFormat/>
    <w:uiPriority w:val="0"/>
    <w:rPr>
      <w:rFonts w:ascii="Calibri" w:hAnsi="Calibri" w:eastAsia="宋体" w:cs="Times New Roman"/>
      <w:szCs w:val="24"/>
    </w:rPr>
  </w:style>
  <w:style w:type="character" w:customStyle="1" w:styleId="25">
    <w:name w:val="标题 1 字符"/>
    <w:basedOn w:val="17"/>
    <w:link w:val="3"/>
    <w:qFormat/>
    <w:uiPriority w:val="9"/>
    <w:rPr>
      <w:b/>
      <w:bCs/>
      <w:kern w:val="44"/>
      <w:sz w:val="44"/>
      <w:szCs w:val="44"/>
    </w:rPr>
  </w:style>
  <w:style w:type="paragraph" w:customStyle="1" w:styleId="26">
    <w:name w:val="Heading #2|1"/>
    <w:basedOn w:val="1"/>
    <w:qFormat/>
    <w:uiPriority w:val="0"/>
    <w:pPr>
      <w:widowControl w:val="0"/>
      <w:shd w:val="clear" w:color="auto" w:fill="auto"/>
      <w:spacing w:after="150"/>
      <w:ind w:firstLine="660"/>
      <w:outlineLvl w:val="1"/>
    </w:pPr>
    <w:rPr>
      <w:rFonts w:ascii="宋体" w:hAnsi="宋体" w:eastAsia="宋体" w:cs="宋体"/>
      <w:b/>
      <w:bCs/>
      <w:sz w:val="26"/>
      <w:szCs w:val="26"/>
      <w:u w:val="none"/>
      <w:shd w:val="clear" w:color="auto" w:fill="auto"/>
      <w:lang w:val="zh-TW" w:eastAsia="zh-TW" w:bidi="zh-TW"/>
    </w:rPr>
  </w:style>
  <w:style w:type="paragraph" w:customStyle="1" w:styleId="27">
    <w:name w:val="WPSOffice手动目录 3"/>
    <w:qFormat/>
    <w:uiPriority w:val="0"/>
    <w:pPr>
      <w:ind w:leftChars="400"/>
    </w:pPr>
    <w:rPr>
      <w:rFonts w:ascii="Times New Roman" w:hAnsi="Times New Roman" w:eastAsia="宋体" w:cs="Times New Roman"/>
      <w:sz w:val="20"/>
      <w:szCs w:val="20"/>
    </w:rPr>
  </w:style>
  <w:style w:type="paragraph" w:customStyle="1" w:styleId="28">
    <w:name w:val="WPSOffice手动目录 1"/>
    <w:qFormat/>
    <w:uiPriority w:val="0"/>
    <w:pPr>
      <w:ind w:leftChars="0"/>
    </w:pPr>
    <w:rPr>
      <w:rFonts w:ascii="Times New Roman" w:hAnsi="Times New Roman" w:eastAsia="宋体" w:cs="Times New Roman"/>
      <w:sz w:val="20"/>
      <w:szCs w:val="20"/>
    </w:rPr>
  </w:style>
  <w:style w:type="paragraph" w:customStyle="1" w:styleId="29">
    <w:name w:val="WPSOffice手动目录 2"/>
    <w:qFormat/>
    <w:uiPriority w:val="0"/>
    <w:pPr>
      <w:ind w:leftChars="200"/>
    </w:pPr>
    <w:rPr>
      <w:rFonts w:ascii="Times New Roman" w:hAnsi="Times New Roman" w:eastAsia="宋体" w:cs="Times New Roman"/>
      <w:sz w:val="20"/>
      <w:szCs w:val="20"/>
    </w:rPr>
  </w:style>
  <w:style w:type="table" w:customStyle="1" w:styleId="30">
    <w:name w:val="Table Normal"/>
    <w:semiHidden/>
    <w:unhideWhenUsed/>
    <w:qFormat/>
    <w:uiPriority w:val="0"/>
    <w:tblPr>
      <w:tblCellMar>
        <w:top w:w="0" w:type="dxa"/>
        <w:left w:w="0" w:type="dxa"/>
        <w:bottom w:w="0" w:type="dxa"/>
        <w:right w:w="0" w:type="dxa"/>
      </w:tblCellMar>
    </w:tblPr>
  </w:style>
  <w:style w:type="paragraph" w:customStyle="1" w:styleId="31">
    <w:name w:val="Body Text Indent 31"/>
    <w:basedOn w:val="1"/>
    <w:qFormat/>
    <w:uiPriority w:val="0"/>
    <w:pPr>
      <w:spacing w:before="100" w:beforeAutospacing="1" w:after="100" w:afterAutospacing="1"/>
      <w:ind w:left="420" w:leftChars="200"/>
    </w:pPr>
    <w:rPr>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7" Type="http://schemas.openxmlformats.org/officeDocument/2006/relationships/fontTable" Target="fontTable.xml"/><Relationship Id="rId56" Type="http://schemas.openxmlformats.org/officeDocument/2006/relationships/customXml" Target="../customXml/item1.xml"/><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image" Target="media/image1.jpeg"/><Relationship Id="rId49" Type="http://schemas.openxmlformats.org/officeDocument/2006/relationships/image" Target="media/image43.jpe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theme" Target="theme/theme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chart" Target="charts/chart2.xml"/><Relationship Id="rId21" Type="http://schemas.openxmlformats.org/officeDocument/2006/relationships/chart" Target="charts/chart1.xml"/><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600" b="1" i="0" u="none" strike="noStrike" kern="1200" cap="all" spc="120" normalizeH="0" baseline="0">
                <a:solidFill>
                  <a:schemeClr val="tx1">
                    <a:lumMod val="65000"/>
                    <a:lumOff val="35000"/>
                  </a:schemeClr>
                </a:solidFill>
                <a:latin typeface="+mn-lt"/>
                <a:ea typeface="+mn-ea"/>
                <a:cs typeface="+mn-cs"/>
              </a:defRPr>
            </a:pPr>
            <a:r>
              <a:t>毕业生分布表</a:t>
            </a:r>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
                </c:pt>
              </c:strCache>
            </c:strRef>
          </c:tx>
          <c:spPr>
            <a:solidFill>
              <a:schemeClr val="accent1"/>
            </a:solidFill>
            <a:ln>
              <a:noFill/>
            </a:ln>
            <a:effectLst/>
          </c:spPr>
          <c:invertIfNegative val="0"/>
          <c:dLbls>
            <c:delete val="1"/>
          </c:dLbls>
          <c:cat>
            <c:strRef>
              <c:f>Sheet1!$A$2:$A$8</c:f>
              <c:strCache>
                <c:ptCount val="7"/>
                <c:pt idx="0">
                  <c:v>鹰潭</c:v>
                </c:pt>
                <c:pt idx="1">
                  <c:v>上饶</c:v>
                </c:pt>
                <c:pt idx="2">
                  <c:v>抚州</c:v>
                </c:pt>
                <c:pt idx="3">
                  <c:v>景德镇</c:v>
                </c:pt>
                <c:pt idx="4">
                  <c:v>赣州</c:v>
                </c:pt>
                <c:pt idx="5">
                  <c:v>南昌</c:v>
                </c:pt>
                <c:pt idx="6">
                  <c:v>外省</c:v>
                </c:pt>
              </c:strCache>
            </c:strRef>
          </c:cat>
          <c:val>
            <c:numRef>
              <c:f>Sheet1!$B$2:$B$8</c:f>
              <c:numCache>
                <c:formatCode>General</c:formatCode>
                <c:ptCount val="7"/>
              </c:numCache>
            </c:numRef>
          </c:val>
        </c:ser>
        <c:ser>
          <c:idx val="1"/>
          <c:order val="1"/>
          <c:tx>
            <c:strRef>
              <c:f>Sheet1!$C$1</c:f>
              <c:strCache>
                <c:ptCount val="1"/>
                <c:pt idx="0">
                  <c:v>系列 2</c:v>
                </c:pt>
              </c:strCache>
            </c:strRef>
          </c:tx>
          <c:spPr>
            <a:solidFill>
              <a:schemeClr val="accent2"/>
            </a:solidFill>
            <a:ln>
              <a:noFill/>
            </a:ln>
            <a:effectLst/>
          </c:spPr>
          <c:invertIfNegative val="0"/>
          <c:dLbls>
            <c:delete val="1"/>
          </c:dLbls>
          <c:cat>
            <c:strRef>
              <c:f>Sheet1!$A$2:$A$8</c:f>
              <c:strCache>
                <c:ptCount val="7"/>
                <c:pt idx="0">
                  <c:v>鹰潭</c:v>
                </c:pt>
                <c:pt idx="1">
                  <c:v>上饶</c:v>
                </c:pt>
                <c:pt idx="2">
                  <c:v>抚州</c:v>
                </c:pt>
                <c:pt idx="3">
                  <c:v>景德镇</c:v>
                </c:pt>
                <c:pt idx="4">
                  <c:v>赣州</c:v>
                </c:pt>
                <c:pt idx="5">
                  <c:v>南昌</c:v>
                </c:pt>
                <c:pt idx="6">
                  <c:v>外省</c:v>
                </c:pt>
              </c:strCache>
            </c:strRef>
          </c:cat>
          <c:val>
            <c:numRef>
              <c:f>Sheet1!$C$2:$C$8</c:f>
              <c:numCache>
                <c:formatCode>General</c:formatCode>
                <c:ptCount val="7"/>
                <c:pt idx="0">
                  <c:v>701</c:v>
                </c:pt>
                <c:pt idx="1">
                  <c:v>459</c:v>
                </c:pt>
                <c:pt idx="2">
                  <c:v>161</c:v>
                </c:pt>
                <c:pt idx="3">
                  <c:v>144</c:v>
                </c:pt>
                <c:pt idx="4">
                  <c:v>6</c:v>
                </c:pt>
                <c:pt idx="5">
                  <c:v>5</c:v>
                </c:pt>
                <c:pt idx="6">
                  <c:v>41</c:v>
                </c:pt>
              </c:numCache>
            </c:numRef>
          </c:val>
        </c:ser>
        <c:ser>
          <c:idx val="2"/>
          <c:order val="2"/>
          <c:tx>
            <c:strRef>
              <c:f>Sheet1!$D$1</c:f>
              <c:strCache>
                <c:ptCount val="1"/>
                <c:pt idx="0">
                  <c:v/>
                </c:pt>
              </c:strCache>
            </c:strRef>
          </c:tx>
          <c:spPr>
            <a:solidFill>
              <a:schemeClr val="accent3"/>
            </a:solidFill>
            <a:ln>
              <a:noFill/>
            </a:ln>
            <a:effectLst/>
          </c:spPr>
          <c:invertIfNegative val="0"/>
          <c:dLbls>
            <c:delete val="1"/>
          </c:dLbls>
          <c:cat>
            <c:strRef>
              <c:f>Sheet1!$A$2:$A$8</c:f>
              <c:strCache>
                <c:ptCount val="7"/>
                <c:pt idx="0">
                  <c:v>鹰潭</c:v>
                </c:pt>
                <c:pt idx="1">
                  <c:v>上饶</c:v>
                </c:pt>
                <c:pt idx="2">
                  <c:v>抚州</c:v>
                </c:pt>
                <c:pt idx="3">
                  <c:v>景德镇</c:v>
                </c:pt>
                <c:pt idx="4">
                  <c:v>赣州</c:v>
                </c:pt>
                <c:pt idx="5">
                  <c:v>南昌</c:v>
                </c:pt>
                <c:pt idx="6">
                  <c:v>外省</c:v>
                </c:pt>
              </c:strCache>
            </c:strRef>
          </c:cat>
          <c:val>
            <c:numRef>
              <c:f>Sheet1!$D$2:$D$8</c:f>
              <c:numCache>
                <c:formatCode>General</c:formatCode>
                <c:ptCount val="7"/>
              </c:numCache>
            </c:numRef>
          </c:val>
        </c:ser>
        <c:dLbls>
          <c:showLegendKey val="0"/>
          <c:showVal val="1"/>
          <c:showCatName val="0"/>
          <c:showSerName val="0"/>
          <c:showPercent val="0"/>
          <c:showBubbleSize val="0"/>
        </c:dLbls>
        <c:gapWidth val="150"/>
        <c:overlap val="0"/>
        <c:axId val="245963097"/>
        <c:axId val="973273475"/>
      </c:barChart>
      <c:catAx>
        <c:axId val="24596309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800" b="0" i="0" u="none" strike="noStrike" kern="1200" cap="all" spc="120" normalizeH="0" baseline="0">
                <a:solidFill>
                  <a:schemeClr val="tx1">
                    <a:lumMod val="65000"/>
                    <a:lumOff val="35000"/>
                  </a:schemeClr>
                </a:solidFill>
                <a:latin typeface="+mn-lt"/>
                <a:ea typeface="+mn-ea"/>
                <a:cs typeface="+mn-cs"/>
              </a:defRPr>
            </a:pPr>
          </a:p>
        </c:txPr>
        <c:crossAx val="973273475"/>
        <c:crosses val="autoZero"/>
        <c:auto val="1"/>
        <c:lblAlgn val="ctr"/>
        <c:lblOffset val="100"/>
        <c:noMultiLvlLbl val="0"/>
      </c:catAx>
      <c:valAx>
        <c:axId val="9732734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45963097"/>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cap="none" spc="20" baseline="0">
                <a:solidFill>
                  <a:schemeClr val="tx1">
                    <a:lumMod val="50000"/>
                    <a:lumOff val="50000"/>
                  </a:schemeClr>
                </a:solidFill>
                <a:latin typeface="+mn-lt"/>
                <a:ea typeface="+mn-ea"/>
                <a:cs typeface="+mn-cs"/>
              </a:defRPr>
            </a:pPr>
            <a:r>
              <a:t>就业表格</a:t>
            </a:r>
          </a:p>
        </c:rich>
      </c:tx>
      <c:layout/>
      <c:overlay val="0"/>
      <c:spPr>
        <a:noFill/>
        <a:ln>
          <a:noFill/>
        </a:ln>
        <a:effectLst/>
      </c:spPr>
    </c:title>
    <c:autoTitleDeleted val="0"/>
    <c:plotArea>
      <c:layout/>
      <c:pieChart>
        <c:varyColors val="1"/>
        <c:ser>
          <c:idx val="0"/>
          <c:order val="0"/>
          <c:tx>
            <c:strRef>
              <c:f>Sheet1!$B$1</c:f>
              <c:strCache>
                <c:ptCount val="1"/>
                <c:pt idx="0">
                  <c:v>人数</c:v>
                </c:pt>
              </c:strCache>
            </c:strRef>
          </c:tx>
          <c:spPr/>
          <c:explosion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65000"/>
                        <a:lumOff val="35000"/>
                      </a:schemeClr>
                    </a:solidFill>
                    <a:latin typeface="+mn-lt"/>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Sheet1!$A$2:$A$4</c:f>
              <c:strCache>
                <c:ptCount val="3"/>
                <c:pt idx="0">
                  <c:v>直接就业</c:v>
                </c:pt>
                <c:pt idx="1">
                  <c:v>升学人数</c:v>
                </c:pt>
                <c:pt idx="2">
                  <c:v>未就业</c:v>
                </c:pt>
              </c:strCache>
            </c:strRef>
          </c:cat>
          <c:val>
            <c:numRef>
              <c:f>Sheet1!$B$2:$B$4</c:f>
              <c:numCache>
                <c:formatCode>General</c:formatCode>
                <c:ptCount val="3"/>
                <c:pt idx="0">
                  <c:v>678</c:v>
                </c:pt>
                <c:pt idx="1">
                  <c:v>466</c:v>
                </c:pt>
                <c:pt idx="2">
                  <c:v>348</c:v>
                </c:pt>
              </c:numCache>
            </c:numRef>
          </c:val>
        </c:ser>
        <c:dLbls>
          <c:showLegendKey val="0"/>
          <c:showVal val="0"/>
          <c:showCatName val="1"/>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50000"/>
                  <a:lumOff val="50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78</Pages>
  <Words>25852</Words>
  <Characters>28282</Characters>
  <Lines>91</Lines>
  <Paragraphs>25</Paragraphs>
  <TotalTime>9</TotalTime>
  <ScaleCrop>false</ScaleCrop>
  <LinksUpToDate>false</LinksUpToDate>
  <CharactersWithSpaces>28913</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2021-11-16T00:36:00Z</dcterms:created>
  <dc:creator>Windows 用户</dc:creator>
  <cp:lastModifiedBy>林丹</cp:lastModifiedBy>
  <dcterms:modified xsi:type="dcterms:W3CDTF">2023-02-01T15:08:30Z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8CEDD2DA74E64F698675CBB432B0951F</vt:lpwstr>
  </property>
</Properties>
</file>