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00" w:lineRule="exact"/>
        <w:jc w:val="center"/>
        <w:rPr>
          <w:rFonts w:ascii="宋体" w:hAnsi="宋体"/>
          <w:b/>
          <w:sz w:val="44"/>
          <w:szCs w:val="48"/>
        </w:rPr>
      </w:pPr>
      <w:r>
        <w:rPr>
          <w:rFonts w:hint="eastAsia" w:ascii="宋体" w:hAnsi="宋体"/>
          <w:b/>
          <w:sz w:val="52"/>
          <w:szCs w:val="52"/>
        </w:rPr>
        <w:t>电梯加装铝合金窗工程</w:t>
      </w:r>
    </w:p>
    <w:p>
      <w:pPr>
        <w:spacing w:line="1400" w:lineRule="exact"/>
        <w:jc w:val="center"/>
        <w:rPr>
          <w:rFonts w:ascii="宋体" w:hAnsi="宋体"/>
          <w:b/>
          <w:sz w:val="96"/>
          <w:szCs w:val="112"/>
        </w:rPr>
      </w:pPr>
      <w:r>
        <w:rPr>
          <w:rFonts w:hint="eastAsia" w:ascii="宋体" w:hAnsi="宋体"/>
          <w:b/>
          <w:sz w:val="96"/>
          <w:szCs w:val="112"/>
        </w:rPr>
        <w:t>招</w:t>
      </w:r>
    </w:p>
    <w:p>
      <w:pPr>
        <w:spacing w:line="1400" w:lineRule="exact"/>
        <w:jc w:val="center"/>
        <w:rPr>
          <w:rFonts w:ascii="宋体" w:hAnsi="宋体"/>
          <w:b/>
          <w:sz w:val="96"/>
          <w:szCs w:val="112"/>
        </w:rPr>
      </w:pPr>
      <w:r>
        <w:rPr>
          <w:rFonts w:hint="eastAsia" w:ascii="宋体" w:hAnsi="宋体"/>
          <w:b/>
          <w:sz w:val="96"/>
          <w:szCs w:val="112"/>
        </w:rPr>
        <w:t>标</w:t>
      </w:r>
    </w:p>
    <w:p>
      <w:pPr>
        <w:spacing w:line="1400" w:lineRule="exact"/>
        <w:jc w:val="center"/>
        <w:rPr>
          <w:rFonts w:ascii="宋体" w:hAnsi="宋体"/>
          <w:b/>
          <w:sz w:val="96"/>
          <w:szCs w:val="112"/>
        </w:rPr>
      </w:pPr>
      <w:r>
        <w:rPr>
          <w:rFonts w:hint="eastAsia" w:ascii="宋体" w:hAnsi="宋体"/>
          <w:b/>
          <w:sz w:val="96"/>
          <w:szCs w:val="112"/>
        </w:rPr>
        <w:t>文</w:t>
      </w:r>
    </w:p>
    <w:p>
      <w:pPr>
        <w:spacing w:line="1400" w:lineRule="exact"/>
        <w:jc w:val="center"/>
        <w:rPr>
          <w:rFonts w:ascii="宋体" w:hAnsi="宋体"/>
          <w:b/>
          <w:sz w:val="96"/>
          <w:szCs w:val="112"/>
        </w:rPr>
      </w:pPr>
      <w:r>
        <w:rPr>
          <w:rFonts w:hint="eastAsia" w:ascii="宋体" w:hAnsi="宋体"/>
          <w:b/>
          <w:sz w:val="96"/>
          <w:szCs w:val="112"/>
        </w:rPr>
        <w:t>件</w:t>
      </w:r>
    </w:p>
    <w:p>
      <w:pPr>
        <w:spacing w:line="120" w:lineRule="exact"/>
        <w:rPr>
          <w:rFonts w:ascii="宋体" w:hAnsi="宋体"/>
          <w:sz w:val="44"/>
          <w:u w:val="single"/>
        </w:rPr>
      </w:pPr>
    </w:p>
    <w:p>
      <w:pPr>
        <w:jc w:val="center"/>
        <w:rPr>
          <w:rFonts w:ascii="宋体" w:hAnsi="宋体"/>
          <w:b/>
          <w:sz w:val="36"/>
          <w:szCs w:val="36"/>
        </w:rPr>
      </w:pPr>
    </w:p>
    <w:p>
      <w:pPr>
        <w:rPr>
          <w:rFonts w:ascii="宋体" w:hAnsi="宋体"/>
          <w:b/>
          <w:sz w:val="36"/>
          <w:szCs w:val="36"/>
        </w:rPr>
      </w:pPr>
    </w:p>
    <w:p>
      <w:pPr>
        <w:rPr>
          <w:rFonts w:ascii="宋体" w:hAnsi="宋体"/>
          <w:b/>
          <w:sz w:val="36"/>
          <w:szCs w:val="36"/>
        </w:rPr>
      </w:pPr>
    </w:p>
    <w:p>
      <w:pPr>
        <w:jc w:val="center"/>
        <w:rPr>
          <w:rFonts w:ascii="宋体" w:hAnsi="宋体"/>
          <w:sz w:val="32"/>
          <w:szCs w:val="32"/>
          <w:u w:val="single"/>
        </w:rPr>
      </w:pPr>
      <w:r>
        <w:rPr>
          <w:rFonts w:hint="eastAsia" w:ascii="宋体" w:hAnsi="宋体"/>
          <w:b/>
          <w:sz w:val="32"/>
          <w:szCs w:val="32"/>
        </w:rPr>
        <w:t>招标人：梧州开放大学</w:t>
      </w:r>
    </w:p>
    <w:p>
      <w:pPr>
        <w:spacing w:line="480" w:lineRule="exact"/>
        <w:jc w:val="center"/>
        <w:rPr>
          <w:rFonts w:ascii="宋体" w:hAnsi="宋体"/>
          <w:b/>
          <w:sz w:val="32"/>
          <w:szCs w:val="32"/>
        </w:rPr>
      </w:pPr>
      <w:r>
        <w:rPr>
          <w:rFonts w:hint="eastAsia" w:ascii="宋体" w:hAnsi="宋体"/>
          <w:b/>
          <w:sz w:val="32"/>
          <w:szCs w:val="32"/>
        </w:rPr>
        <w:t>二〇二二年三月</w:t>
      </w:r>
    </w:p>
    <w:p>
      <w:pPr>
        <w:jc w:val="center"/>
        <w:rPr>
          <w:rFonts w:hint="eastAsia" w:ascii="宋体" w:hAnsi="宋体"/>
          <w:b/>
          <w:sz w:val="36"/>
          <w:szCs w:val="36"/>
        </w:rPr>
        <w:sectPr>
          <w:headerReference r:id="rId4" w:type="first"/>
          <w:headerReference r:id="rId3" w:type="default"/>
          <w:footerReference r:id="rId5" w:type="default"/>
          <w:pgSz w:w="11907" w:h="16840"/>
          <w:pgMar w:top="1440" w:right="1800" w:bottom="1440" w:left="1800" w:header="429" w:footer="992" w:gutter="0"/>
          <w:pgNumType w:start="1"/>
          <w:cols w:space="720" w:num="1"/>
          <w:titlePg/>
          <w:docGrid w:type="linesAndChars" w:linePitch="312" w:charSpace="0"/>
        </w:sectPr>
      </w:pPr>
    </w:p>
    <w:p>
      <w:pPr>
        <w:jc w:val="center"/>
        <w:rPr>
          <w:rFonts w:ascii="宋体" w:hAnsi="宋体"/>
          <w:b/>
          <w:sz w:val="36"/>
          <w:szCs w:val="36"/>
        </w:rPr>
      </w:pPr>
      <w:r>
        <w:rPr>
          <w:rFonts w:hint="eastAsia" w:ascii="宋体" w:hAnsi="宋体"/>
          <w:b/>
          <w:sz w:val="36"/>
          <w:szCs w:val="36"/>
        </w:rPr>
        <w:t>电梯加装铝合金窗工程招标文件</w:t>
      </w:r>
    </w:p>
    <w:p>
      <w:pPr>
        <w:jc w:val="center"/>
        <w:rPr>
          <w:rFonts w:ascii="宋体" w:hAnsi="宋体"/>
          <w:b/>
          <w:sz w:val="30"/>
          <w:szCs w:val="30"/>
        </w:rPr>
      </w:pPr>
    </w:p>
    <w:p>
      <w:pPr>
        <w:jc w:val="center"/>
        <w:rPr>
          <w:rFonts w:ascii="宋体" w:hAnsi="宋体"/>
          <w:sz w:val="32"/>
        </w:rPr>
      </w:pPr>
    </w:p>
    <w:p>
      <w:pPr>
        <w:spacing w:line="700" w:lineRule="exact"/>
        <w:ind w:firstLine="480" w:firstLineChars="200"/>
        <w:rPr>
          <w:rFonts w:ascii="宋体" w:hAnsi="宋体"/>
          <w:sz w:val="24"/>
          <w:u w:val="single"/>
        </w:rPr>
      </w:pPr>
      <w:r>
        <w:rPr>
          <w:rFonts w:hint="eastAsia" w:ascii="宋体" w:hAnsi="宋体"/>
          <w:sz w:val="24"/>
        </w:rPr>
        <w:t>招标人名称：</w:t>
      </w:r>
      <w:r>
        <w:rPr>
          <w:rFonts w:hint="eastAsia" w:ascii="宋体" w:hAnsi="宋体"/>
          <w:sz w:val="24"/>
          <w:u w:val="single"/>
        </w:rPr>
        <w:t xml:space="preserve">      梧州开放大学 (代章)       </w:t>
      </w:r>
      <w:r>
        <w:rPr>
          <w:rFonts w:hint="eastAsia" w:ascii="宋体" w:hAnsi="宋体"/>
          <w:sz w:val="24"/>
        </w:rPr>
        <w:t xml:space="preserve"> （盖章）</w:t>
      </w:r>
    </w:p>
    <w:p>
      <w:pPr>
        <w:spacing w:line="700" w:lineRule="exact"/>
        <w:ind w:firstLine="480" w:firstLineChars="200"/>
        <w:rPr>
          <w:rFonts w:ascii="宋体" w:hAnsi="宋体"/>
          <w:sz w:val="24"/>
        </w:rPr>
      </w:pPr>
      <w:r>
        <w:rPr>
          <w:rFonts w:hint="eastAsia" w:ascii="宋体" w:hAnsi="宋体"/>
          <w:sz w:val="24"/>
        </w:rPr>
        <w:t>招标人法定代表人：</w:t>
      </w:r>
      <w:r>
        <w:rPr>
          <w:rFonts w:hint="eastAsia" w:ascii="宋体" w:hAnsi="宋体"/>
          <w:sz w:val="24"/>
          <w:u w:val="single"/>
        </w:rPr>
        <w:t xml:space="preserve">    聂振传                     </w:t>
      </w:r>
      <w:r>
        <w:rPr>
          <w:rFonts w:hint="eastAsia" w:ascii="宋体" w:hAnsi="宋体"/>
          <w:sz w:val="24"/>
        </w:rPr>
        <w:t xml:space="preserve"> </w:t>
      </w:r>
    </w:p>
    <w:p>
      <w:pPr>
        <w:spacing w:line="700" w:lineRule="exact"/>
        <w:ind w:firstLine="480" w:firstLineChars="200"/>
        <w:rPr>
          <w:rFonts w:ascii="宋体" w:hAnsi="宋体"/>
          <w:sz w:val="24"/>
        </w:rPr>
      </w:pPr>
      <w:r>
        <w:rPr>
          <w:rFonts w:hint="eastAsia" w:ascii="宋体" w:hAnsi="宋体"/>
          <w:sz w:val="24"/>
        </w:rPr>
        <w:t>招标人地址：</w:t>
      </w:r>
      <w:r>
        <w:rPr>
          <w:rFonts w:hint="eastAsia" w:ascii="宋体" w:hAnsi="宋体"/>
          <w:sz w:val="24"/>
          <w:u w:val="single"/>
        </w:rPr>
        <w:t xml:space="preserve">       梧州市步埠路70号              </w:t>
      </w:r>
    </w:p>
    <w:p>
      <w:pPr>
        <w:spacing w:line="700" w:lineRule="exact"/>
        <w:ind w:firstLine="480" w:firstLineChars="200"/>
        <w:rPr>
          <w:rFonts w:ascii="宋体" w:hAnsi="宋体"/>
          <w:sz w:val="24"/>
        </w:rPr>
      </w:pPr>
      <w:r>
        <w:rPr>
          <w:rFonts w:hint="eastAsia" w:ascii="宋体" w:hAnsi="宋体"/>
          <w:sz w:val="24"/>
        </w:rPr>
        <w:t>邮政编码：</w:t>
      </w:r>
      <w:r>
        <w:rPr>
          <w:rFonts w:hint="eastAsia" w:ascii="宋体" w:hAnsi="宋体"/>
          <w:sz w:val="24"/>
          <w:u w:val="single"/>
        </w:rPr>
        <w:t xml:space="preserve">      543002     </w:t>
      </w:r>
      <w:r>
        <w:rPr>
          <w:rFonts w:hint="eastAsia" w:ascii="宋体" w:hAnsi="宋体"/>
          <w:sz w:val="24"/>
        </w:rPr>
        <w:t xml:space="preserve">          联系人：</w:t>
      </w:r>
      <w:r>
        <w:rPr>
          <w:rFonts w:hint="eastAsia" w:ascii="宋体" w:hAnsi="宋体"/>
          <w:sz w:val="24"/>
          <w:u w:val="single"/>
        </w:rPr>
        <w:t xml:space="preserve">  梁民光     </w:t>
      </w:r>
    </w:p>
    <w:p>
      <w:pPr>
        <w:spacing w:line="700" w:lineRule="exact"/>
        <w:ind w:firstLine="480" w:firstLineChars="200"/>
        <w:rPr>
          <w:rFonts w:ascii="宋体" w:hAnsi="宋体"/>
          <w:sz w:val="24"/>
          <w:u w:val="single"/>
        </w:rPr>
      </w:pPr>
      <w:r>
        <w:rPr>
          <w:rFonts w:hint="eastAsia" w:ascii="宋体" w:hAnsi="宋体"/>
          <w:sz w:val="24"/>
        </w:rPr>
        <w:t>电   话：</w:t>
      </w:r>
      <w:r>
        <w:rPr>
          <w:rFonts w:hint="eastAsia" w:ascii="宋体" w:hAnsi="宋体"/>
          <w:sz w:val="24"/>
          <w:u w:val="single"/>
        </w:rPr>
        <w:t xml:space="preserve">   0774-3880826  </w:t>
      </w:r>
      <w:r>
        <w:rPr>
          <w:rFonts w:hint="eastAsia" w:ascii="宋体" w:hAnsi="宋体"/>
          <w:sz w:val="24"/>
        </w:rPr>
        <w:t xml:space="preserve">         传  真：</w:t>
      </w:r>
      <w:r>
        <w:rPr>
          <w:rFonts w:hint="eastAsia" w:ascii="宋体" w:hAnsi="宋体"/>
          <w:sz w:val="24"/>
          <w:u w:val="single"/>
        </w:rPr>
        <w:t xml:space="preserve">    </w:t>
      </w:r>
      <w:r>
        <w:rPr>
          <w:rFonts w:hint="eastAsia" w:ascii="宋体" w:hAnsi="宋体" w:cs="宋体"/>
          <w:sz w:val="22"/>
          <w:szCs w:val="24"/>
          <w:u w:val="single"/>
        </w:rPr>
        <w:t xml:space="preserve">/         </w:t>
      </w:r>
    </w:p>
    <w:p>
      <w:pPr>
        <w:spacing w:line="700" w:lineRule="exact"/>
        <w:rPr>
          <w:rFonts w:ascii="宋体" w:hAnsi="宋体"/>
          <w:sz w:val="24"/>
          <w:u w:val="single"/>
        </w:rPr>
      </w:pPr>
    </w:p>
    <w:p>
      <w:pPr>
        <w:spacing w:line="700" w:lineRule="exact"/>
        <w:rPr>
          <w:rFonts w:ascii="宋体" w:hAnsi="宋体"/>
          <w:sz w:val="24"/>
          <w:u w:val="single"/>
        </w:rPr>
      </w:pPr>
    </w:p>
    <w:p>
      <w:pPr>
        <w:spacing w:line="700" w:lineRule="exact"/>
        <w:ind w:firstLine="480" w:firstLineChars="200"/>
        <w:rPr>
          <w:rFonts w:ascii="宋体" w:hAnsi="宋体"/>
          <w:sz w:val="24"/>
          <w:szCs w:val="24"/>
          <w:u w:val="single"/>
        </w:rPr>
      </w:pPr>
    </w:p>
    <w:p>
      <w:pPr>
        <w:spacing w:line="700" w:lineRule="exact"/>
        <w:ind w:firstLine="480" w:firstLineChars="200"/>
        <w:rPr>
          <w:rFonts w:ascii="宋体" w:hAnsi="宋体"/>
          <w:sz w:val="24"/>
          <w:szCs w:val="24"/>
          <w:u w:val="single"/>
        </w:rPr>
      </w:pPr>
    </w:p>
    <w:p>
      <w:pPr>
        <w:spacing w:line="440" w:lineRule="exact"/>
        <w:jc w:val="center"/>
        <w:rPr>
          <w:rFonts w:ascii="宋体" w:hAnsi="宋体"/>
          <w:sz w:val="24"/>
          <w:szCs w:val="24"/>
        </w:rPr>
      </w:pPr>
    </w:p>
    <w:p>
      <w:pPr>
        <w:spacing w:line="440" w:lineRule="exact"/>
        <w:jc w:val="center"/>
        <w:rPr>
          <w:rFonts w:ascii="宋体" w:hAnsi="宋体"/>
          <w:sz w:val="24"/>
          <w:szCs w:val="24"/>
        </w:rPr>
      </w:pPr>
    </w:p>
    <w:p>
      <w:pPr>
        <w:spacing w:line="440" w:lineRule="exact"/>
        <w:jc w:val="center"/>
        <w:rPr>
          <w:rFonts w:ascii="宋体" w:hAnsi="宋体"/>
          <w:sz w:val="24"/>
          <w:szCs w:val="24"/>
        </w:rPr>
      </w:pPr>
    </w:p>
    <w:p>
      <w:pPr>
        <w:spacing w:line="440" w:lineRule="exact"/>
        <w:jc w:val="center"/>
        <w:rPr>
          <w:rFonts w:ascii="宋体" w:hAnsi="宋体"/>
          <w:sz w:val="24"/>
          <w:szCs w:val="24"/>
        </w:rPr>
      </w:pPr>
    </w:p>
    <w:p>
      <w:pPr>
        <w:spacing w:line="440" w:lineRule="exact"/>
        <w:jc w:val="center"/>
        <w:rPr>
          <w:rFonts w:ascii="宋体" w:hAnsi="宋体"/>
          <w:sz w:val="24"/>
          <w:szCs w:val="24"/>
        </w:rPr>
      </w:pPr>
    </w:p>
    <w:p>
      <w:pPr>
        <w:spacing w:line="360" w:lineRule="auto"/>
        <w:jc w:val="center"/>
      </w:pPr>
      <w:r>
        <w:rPr>
          <w:rFonts w:hint="eastAsia" w:ascii="宋体" w:hAnsi="宋体"/>
          <w:sz w:val="44"/>
        </w:rPr>
        <w:br w:type="page"/>
      </w:r>
      <w:bookmarkStart w:id="0" w:name="_Toc27957"/>
      <w:r>
        <w:rPr>
          <w:rFonts w:hint="eastAsia"/>
        </w:rPr>
        <w:t>前 附 表</w:t>
      </w:r>
      <w:bookmarkEnd w:id="0"/>
    </w:p>
    <w:tbl>
      <w:tblPr>
        <w:tblStyle w:val="19"/>
        <w:tblW w:w="9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920"/>
        <w:gridCol w:w="7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37" w:type="dxa"/>
            <w:vAlign w:val="center"/>
          </w:tcPr>
          <w:p>
            <w:pPr>
              <w:tabs>
                <w:tab w:val="left" w:pos="540"/>
              </w:tabs>
              <w:spacing w:line="276" w:lineRule="auto"/>
              <w:jc w:val="center"/>
              <w:rPr>
                <w:rFonts w:ascii="宋体" w:hAnsi="宋体"/>
                <w:b/>
                <w:kern w:val="16"/>
                <w:sz w:val="24"/>
                <w:szCs w:val="24"/>
              </w:rPr>
            </w:pPr>
            <w:r>
              <w:rPr>
                <w:rFonts w:hint="eastAsia" w:ascii="宋体" w:hAnsi="宋体"/>
                <w:b/>
                <w:kern w:val="16"/>
                <w:sz w:val="24"/>
                <w:szCs w:val="24"/>
              </w:rPr>
              <w:t>项</w:t>
            </w:r>
          </w:p>
          <w:p>
            <w:pPr>
              <w:tabs>
                <w:tab w:val="left" w:pos="540"/>
              </w:tabs>
              <w:spacing w:line="276" w:lineRule="auto"/>
              <w:jc w:val="center"/>
              <w:rPr>
                <w:rFonts w:ascii="宋体" w:hAnsi="宋体"/>
                <w:b/>
                <w:i/>
                <w:iCs/>
                <w:spacing w:val="60"/>
                <w:sz w:val="24"/>
                <w:szCs w:val="24"/>
              </w:rPr>
            </w:pPr>
            <w:r>
              <w:rPr>
                <w:rFonts w:hint="eastAsia" w:ascii="宋体" w:hAnsi="宋体"/>
                <w:b/>
                <w:kern w:val="16"/>
                <w:sz w:val="24"/>
                <w:szCs w:val="24"/>
              </w:rPr>
              <w:t>号</w:t>
            </w:r>
          </w:p>
        </w:tc>
        <w:tc>
          <w:tcPr>
            <w:tcW w:w="1920" w:type="dxa"/>
            <w:vAlign w:val="center"/>
          </w:tcPr>
          <w:p>
            <w:pPr>
              <w:tabs>
                <w:tab w:val="left" w:pos="540"/>
              </w:tabs>
              <w:spacing w:line="276" w:lineRule="auto"/>
              <w:jc w:val="center"/>
              <w:rPr>
                <w:rFonts w:ascii="宋体" w:hAnsi="宋体"/>
                <w:b/>
                <w:kern w:val="16"/>
                <w:sz w:val="24"/>
                <w:szCs w:val="24"/>
              </w:rPr>
            </w:pPr>
            <w:r>
              <w:rPr>
                <w:rFonts w:hint="eastAsia" w:ascii="宋体" w:hAnsi="宋体"/>
                <w:b/>
                <w:kern w:val="16"/>
                <w:sz w:val="24"/>
                <w:szCs w:val="24"/>
              </w:rPr>
              <w:t>内   容</w:t>
            </w:r>
          </w:p>
        </w:tc>
        <w:tc>
          <w:tcPr>
            <w:tcW w:w="7209" w:type="dxa"/>
            <w:vAlign w:val="center"/>
          </w:tcPr>
          <w:p>
            <w:pPr>
              <w:tabs>
                <w:tab w:val="left" w:pos="540"/>
              </w:tabs>
              <w:spacing w:line="276" w:lineRule="auto"/>
              <w:rPr>
                <w:rFonts w:ascii="宋体" w:hAnsi="宋体"/>
                <w:b/>
                <w:kern w:val="16"/>
                <w:sz w:val="24"/>
                <w:szCs w:val="24"/>
              </w:rPr>
            </w:pPr>
            <w:r>
              <w:rPr>
                <w:rFonts w:hint="eastAsia" w:ascii="宋体" w:hAnsi="宋体"/>
                <w:b/>
                <w:kern w:val="16"/>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37" w:type="dxa"/>
            <w:vAlign w:val="center"/>
          </w:tcPr>
          <w:p>
            <w:pPr>
              <w:tabs>
                <w:tab w:val="left" w:pos="360"/>
                <w:tab w:val="left" w:pos="720"/>
                <w:tab w:val="left" w:pos="900"/>
              </w:tabs>
              <w:spacing w:line="276" w:lineRule="auto"/>
              <w:jc w:val="center"/>
              <w:rPr>
                <w:rFonts w:ascii="宋体" w:hAnsi="宋体"/>
                <w:sz w:val="24"/>
                <w:szCs w:val="24"/>
              </w:rPr>
            </w:pPr>
            <w:r>
              <w:rPr>
                <w:rFonts w:hint="eastAsia" w:ascii="宋体" w:hAnsi="宋体"/>
                <w:sz w:val="24"/>
                <w:szCs w:val="24"/>
              </w:rPr>
              <w:t>1</w:t>
            </w:r>
          </w:p>
        </w:tc>
        <w:tc>
          <w:tcPr>
            <w:tcW w:w="1920" w:type="dxa"/>
            <w:vAlign w:val="center"/>
          </w:tcPr>
          <w:p>
            <w:pPr>
              <w:tabs>
                <w:tab w:val="left" w:pos="540"/>
              </w:tabs>
              <w:spacing w:line="276" w:lineRule="auto"/>
              <w:jc w:val="center"/>
              <w:rPr>
                <w:rFonts w:ascii="宋体" w:hAnsi="宋体"/>
                <w:kern w:val="24"/>
                <w:sz w:val="24"/>
                <w:szCs w:val="24"/>
              </w:rPr>
            </w:pPr>
            <w:r>
              <w:rPr>
                <w:rFonts w:hint="eastAsia" w:ascii="宋体" w:hAnsi="宋体"/>
                <w:kern w:val="24"/>
                <w:sz w:val="24"/>
                <w:szCs w:val="24"/>
              </w:rPr>
              <w:t>工程名称</w:t>
            </w:r>
          </w:p>
        </w:tc>
        <w:tc>
          <w:tcPr>
            <w:tcW w:w="7209" w:type="dxa"/>
            <w:vAlign w:val="center"/>
          </w:tcPr>
          <w:p>
            <w:pPr>
              <w:spacing w:line="276" w:lineRule="auto"/>
              <w:rPr>
                <w:rFonts w:ascii="宋体" w:hAnsi="宋体"/>
                <w:kern w:val="16"/>
                <w:position w:val="6"/>
                <w:sz w:val="24"/>
                <w:szCs w:val="24"/>
              </w:rPr>
            </w:pPr>
            <w:r>
              <w:rPr>
                <w:rFonts w:hint="eastAsia" w:ascii="宋体" w:hAnsi="宋体"/>
                <w:sz w:val="24"/>
                <w:szCs w:val="24"/>
              </w:rPr>
              <w:t>电梯加装铝合金窗工程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37" w:type="dxa"/>
            <w:vAlign w:val="center"/>
          </w:tcPr>
          <w:p>
            <w:pPr>
              <w:tabs>
                <w:tab w:val="left" w:pos="360"/>
                <w:tab w:val="left" w:pos="720"/>
                <w:tab w:val="left" w:pos="900"/>
              </w:tabs>
              <w:spacing w:line="276" w:lineRule="auto"/>
              <w:jc w:val="center"/>
              <w:rPr>
                <w:rFonts w:ascii="宋体" w:hAnsi="宋体"/>
                <w:sz w:val="24"/>
                <w:szCs w:val="24"/>
              </w:rPr>
            </w:pPr>
            <w:r>
              <w:rPr>
                <w:rFonts w:hint="eastAsia" w:ascii="宋体" w:hAnsi="宋体"/>
                <w:sz w:val="24"/>
                <w:szCs w:val="24"/>
              </w:rPr>
              <w:t>2</w:t>
            </w:r>
          </w:p>
        </w:tc>
        <w:tc>
          <w:tcPr>
            <w:tcW w:w="1920" w:type="dxa"/>
            <w:vAlign w:val="center"/>
          </w:tcPr>
          <w:p>
            <w:pPr>
              <w:tabs>
                <w:tab w:val="left" w:pos="540"/>
              </w:tabs>
              <w:spacing w:line="276" w:lineRule="auto"/>
              <w:jc w:val="center"/>
              <w:rPr>
                <w:rFonts w:ascii="宋体" w:hAnsi="宋体"/>
                <w:kern w:val="24"/>
                <w:sz w:val="24"/>
                <w:szCs w:val="24"/>
              </w:rPr>
            </w:pPr>
            <w:r>
              <w:rPr>
                <w:rFonts w:hint="eastAsia" w:ascii="宋体" w:hAnsi="宋体"/>
                <w:kern w:val="24"/>
                <w:sz w:val="24"/>
                <w:szCs w:val="24"/>
              </w:rPr>
              <w:t>建设地点</w:t>
            </w:r>
          </w:p>
        </w:tc>
        <w:tc>
          <w:tcPr>
            <w:tcW w:w="7209" w:type="dxa"/>
            <w:vAlign w:val="center"/>
          </w:tcPr>
          <w:p>
            <w:pPr>
              <w:tabs>
                <w:tab w:val="left" w:pos="540"/>
              </w:tabs>
              <w:spacing w:line="276" w:lineRule="auto"/>
              <w:rPr>
                <w:rFonts w:ascii="宋体" w:hAnsi="宋体"/>
                <w:kern w:val="16"/>
                <w:position w:val="6"/>
                <w:sz w:val="24"/>
                <w:szCs w:val="24"/>
              </w:rPr>
            </w:pPr>
            <w:r>
              <w:rPr>
                <w:rFonts w:hint="eastAsia" w:ascii="宋体" w:hAnsi="宋体"/>
                <w:kern w:val="16"/>
                <w:position w:val="6"/>
                <w:sz w:val="24"/>
                <w:szCs w:val="24"/>
              </w:rPr>
              <w:t>梧州开放大学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37" w:type="dxa"/>
            <w:vAlign w:val="center"/>
          </w:tcPr>
          <w:p>
            <w:pPr>
              <w:tabs>
                <w:tab w:val="left" w:pos="360"/>
                <w:tab w:val="left" w:pos="720"/>
                <w:tab w:val="left" w:pos="900"/>
              </w:tabs>
              <w:spacing w:line="276" w:lineRule="auto"/>
              <w:jc w:val="center"/>
              <w:rPr>
                <w:rFonts w:ascii="宋体" w:hAnsi="宋体"/>
                <w:sz w:val="24"/>
                <w:szCs w:val="24"/>
              </w:rPr>
            </w:pPr>
            <w:r>
              <w:rPr>
                <w:rFonts w:hint="eastAsia" w:ascii="宋体" w:hAnsi="宋体"/>
                <w:sz w:val="24"/>
                <w:szCs w:val="24"/>
              </w:rPr>
              <w:t>3</w:t>
            </w:r>
          </w:p>
        </w:tc>
        <w:tc>
          <w:tcPr>
            <w:tcW w:w="1920" w:type="dxa"/>
            <w:vAlign w:val="center"/>
          </w:tcPr>
          <w:p>
            <w:pPr>
              <w:tabs>
                <w:tab w:val="left" w:pos="540"/>
              </w:tabs>
              <w:spacing w:line="276" w:lineRule="auto"/>
              <w:jc w:val="center"/>
              <w:rPr>
                <w:rFonts w:ascii="宋体" w:hAnsi="宋体"/>
                <w:kern w:val="24"/>
                <w:sz w:val="24"/>
                <w:szCs w:val="24"/>
              </w:rPr>
            </w:pPr>
            <w:r>
              <w:rPr>
                <w:rFonts w:hint="eastAsia" w:ascii="宋体" w:hAnsi="宋体"/>
                <w:kern w:val="24"/>
                <w:sz w:val="24"/>
                <w:szCs w:val="24"/>
              </w:rPr>
              <w:t>建设规模</w:t>
            </w:r>
          </w:p>
        </w:tc>
        <w:tc>
          <w:tcPr>
            <w:tcW w:w="7209" w:type="dxa"/>
            <w:vAlign w:val="center"/>
          </w:tcPr>
          <w:p>
            <w:pPr>
              <w:tabs>
                <w:tab w:val="left" w:pos="540"/>
              </w:tabs>
              <w:spacing w:line="276" w:lineRule="auto"/>
              <w:rPr>
                <w:rFonts w:hint="eastAsia" w:ascii="宋体" w:hAnsi="宋体" w:eastAsia="宋体"/>
                <w:kern w:val="16"/>
                <w:position w:val="6"/>
                <w:sz w:val="24"/>
                <w:szCs w:val="24"/>
                <w:lang w:eastAsia="zh-CN"/>
              </w:rPr>
            </w:pPr>
            <w:r>
              <w:rPr>
                <w:rFonts w:hint="eastAsia" w:ascii="宋体" w:hAnsi="宋体"/>
                <w:kern w:val="16"/>
                <w:position w:val="6"/>
                <w:sz w:val="24"/>
                <w:szCs w:val="24"/>
              </w:rPr>
              <w:t>工程控制价：16500元</w:t>
            </w:r>
            <w:r>
              <w:rPr>
                <w:rFonts w:hint="eastAsia" w:ascii="宋体" w:hAnsi="宋体"/>
                <w:kern w:val="16"/>
                <w:position w:val="6"/>
                <w:sz w:val="24"/>
                <w:szCs w:val="24"/>
                <w:lang w:eastAsia="zh-CN"/>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37" w:type="dxa"/>
            <w:vAlign w:val="center"/>
          </w:tcPr>
          <w:p>
            <w:pPr>
              <w:tabs>
                <w:tab w:val="left" w:pos="360"/>
                <w:tab w:val="left" w:pos="720"/>
                <w:tab w:val="left" w:pos="900"/>
              </w:tabs>
              <w:spacing w:line="276" w:lineRule="auto"/>
              <w:jc w:val="center"/>
              <w:rPr>
                <w:rFonts w:ascii="宋体" w:hAnsi="宋体"/>
                <w:sz w:val="24"/>
                <w:szCs w:val="24"/>
              </w:rPr>
            </w:pPr>
            <w:r>
              <w:rPr>
                <w:rFonts w:hint="eastAsia" w:ascii="宋体" w:hAnsi="宋体"/>
                <w:sz w:val="24"/>
                <w:szCs w:val="24"/>
              </w:rPr>
              <w:t>4</w:t>
            </w:r>
          </w:p>
        </w:tc>
        <w:tc>
          <w:tcPr>
            <w:tcW w:w="1920" w:type="dxa"/>
            <w:vAlign w:val="center"/>
          </w:tcPr>
          <w:p>
            <w:pPr>
              <w:tabs>
                <w:tab w:val="left" w:pos="540"/>
              </w:tabs>
              <w:spacing w:line="276" w:lineRule="auto"/>
              <w:jc w:val="center"/>
              <w:rPr>
                <w:rFonts w:ascii="宋体" w:hAnsi="宋体"/>
                <w:kern w:val="24"/>
                <w:sz w:val="24"/>
                <w:szCs w:val="24"/>
              </w:rPr>
            </w:pPr>
            <w:r>
              <w:rPr>
                <w:rFonts w:hint="eastAsia" w:ascii="宋体" w:hAnsi="宋体"/>
                <w:kern w:val="24"/>
                <w:sz w:val="24"/>
                <w:szCs w:val="24"/>
              </w:rPr>
              <w:t>承包方式</w:t>
            </w:r>
          </w:p>
        </w:tc>
        <w:tc>
          <w:tcPr>
            <w:tcW w:w="7209" w:type="dxa"/>
            <w:vAlign w:val="center"/>
          </w:tcPr>
          <w:p>
            <w:pPr>
              <w:tabs>
                <w:tab w:val="left" w:pos="540"/>
              </w:tabs>
              <w:spacing w:line="276" w:lineRule="auto"/>
              <w:jc w:val="left"/>
              <w:rPr>
                <w:rFonts w:ascii="宋体" w:hAnsi="宋体"/>
                <w:kern w:val="24"/>
                <w:sz w:val="24"/>
                <w:szCs w:val="24"/>
              </w:rPr>
            </w:pPr>
            <w:r>
              <w:rPr>
                <w:rFonts w:hint="eastAsia" w:ascii="宋体" w:hAnsi="宋体"/>
                <w:kern w:val="24"/>
                <w:sz w:val="24"/>
                <w:szCs w:val="24"/>
              </w:rPr>
              <w:t>约定范围内固定总价合同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37" w:type="dxa"/>
            <w:vAlign w:val="center"/>
          </w:tcPr>
          <w:p>
            <w:pPr>
              <w:tabs>
                <w:tab w:val="left" w:pos="360"/>
                <w:tab w:val="left" w:pos="720"/>
                <w:tab w:val="left" w:pos="900"/>
              </w:tabs>
              <w:spacing w:line="276" w:lineRule="auto"/>
              <w:jc w:val="center"/>
              <w:rPr>
                <w:rFonts w:ascii="宋体" w:hAnsi="宋体"/>
                <w:sz w:val="24"/>
                <w:szCs w:val="24"/>
              </w:rPr>
            </w:pPr>
            <w:r>
              <w:rPr>
                <w:rFonts w:hint="eastAsia" w:ascii="宋体" w:hAnsi="宋体"/>
                <w:sz w:val="24"/>
                <w:szCs w:val="24"/>
              </w:rPr>
              <w:t>5</w:t>
            </w:r>
          </w:p>
        </w:tc>
        <w:tc>
          <w:tcPr>
            <w:tcW w:w="1920" w:type="dxa"/>
            <w:vAlign w:val="center"/>
          </w:tcPr>
          <w:p>
            <w:pPr>
              <w:tabs>
                <w:tab w:val="left" w:pos="540"/>
              </w:tabs>
              <w:spacing w:line="276" w:lineRule="auto"/>
              <w:jc w:val="center"/>
              <w:rPr>
                <w:rFonts w:ascii="宋体" w:hAnsi="宋体"/>
                <w:kern w:val="24"/>
                <w:sz w:val="24"/>
                <w:szCs w:val="24"/>
              </w:rPr>
            </w:pPr>
            <w:r>
              <w:rPr>
                <w:rFonts w:hint="eastAsia" w:ascii="宋体" w:hAnsi="宋体"/>
                <w:kern w:val="24"/>
                <w:sz w:val="24"/>
                <w:szCs w:val="24"/>
              </w:rPr>
              <w:t>质量标准</w:t>
            </w:r>
          </w:p>
        </w:tc>
        <w:tc>
          <w:tcPr>
            <w:tcW w:w="7209" w:type="dxa"/>
            <w:vAlign w:val="center"/>
          </w:tcPr>
          <w:p>
            <w:pPr>
              <w:pStyle w:val="28"/>
              <w:widowControl w:val="0"/>
              <w:pBdr>
                <w:bottom w:val="none" w:color="auto" w:sz="0" w:space="0"/>
              </w:pBdr>
              <w:tabs>
                <w:tab w:val="left" w:pos="540"/>
              </w:tabs>
              <w:spacing w:before="0" w:beforeAutospacing="0" w:after="0" w:afterAutospacing="0" w:line="276" w:lineRule="auto"/>
              <w:jc w:val="both"/>
              <w:rPr>
                <w:rFonts w:hint="default" w:ascii="宋体" w:eastAsia="宋体"/>
                <w:kern w:val="16"/>
                <w:position w:val="6"/>
              </w:rPr>
            </w:pPr>
            <w:r>
              <w:rPr>
                <w:rFonts w:ascii="宋体" w:eastAsia="宋体"/>
                <w:kern w:val="16"/>
                <w:position w:val="6"/>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37" w:type="dxa"/>
            <w:vAlign w:val="center"/>
          </w:tcPr>
          <w:p>
            <w:pPr>
              <w:tabs>
                <w:tab w:val="left" w:pos="360"/>
                <w:tab w:val="left" w:pos="720"/>
                <w:tab w:val="left" w:pos="900"/>
              </w:tabs>
              <w:spacing w:line="276" w:lineRule="auto"/>
              <w:jc w:val="center"/>
              <w:rPr>
                <w:rFonts w:ascii="宋体" w:hAnsi="宋体"/>
                <w:sz w:val="24"/>
                <w:szCs w:val="24"/>
              </w:rPr>
            </w:pPr>
            <w:r>
              <w:rPr>
                <w:rFonts w:hint="eastAsia" w:ascii="宋体" w:hAnsi="宋体"/>
                <w:sz w:val="24"/>
                <w:szCs w:val="24"/>
              </w:rPr>
              <w:t>6</w:t>
            </w:r>
          </w:p>
        </w:tc>
        <w:tc>
          <w:tcPr>
            <w:tcW w:w="1920" w:type="dxa"/>
            <w:vAlign w:val="center"/>
          </w:tcPr>
          <w:p>
            <w:pPr>
              <w:tabs>
                <w:tab w:val="left" w:pos="540"/>
              </w:tabs>
              <w:spacing w:line="276" w:lineRule="auto"/>
              <w:jc w:val="center"/>
              <w:rPr>
                <w:rFonts w:ascii="宋体" w:hAnsi="宋体"/>
                <w:kern w:val="24"/>
                <w:sz w:val="24"/>
                <w:szCs w:val="24"/>
              </w:rPr>
            </w:pPr>
            <w:r>
              <w:rPr>
                <w:rFonts w:hint="eastAsia" w:ascii="宋体" w:hAnsi="宋体"/>
                <w:kern w:val="24"/>
                <w:sz w:val="24"/>
                <w:szCs w:val="24"/>
              </w:rPr>
              <w:t>招标范围</w:t>
            </w:r>
          </w:p>
        </w:tc>
        <w:tc>
          <w:tcPr>
            <w:tcW w:w="7209" w:type="dxa"/>
            <w:vAlign w:val="center"/>
          </w:tcPr>
          <w:p>
            <w:pPr>
              <w:pStyle w:val="28"/>
              <w:widowControl w:val="0"/>
              <w:pBdr>
                <w:bottom w:val="none" w:color="auto" w:sz="0" w:space="0"/>
              </w:pBdr>
              <w:tabs>
                <w:tab w:val="left" w:pos="540"/>
              </w:tabs>
              <w:spacing w:before="0" w:beforeAutospacing="0" w:after="0" w:afterAutospacing="0" w:line="276" w:lineRule="auto"/>
              <w:jc w:val="both"/>
              <w:rPr>
                <w:rFonts w:hint="default" w:ascii="宋体" w:eastAsia="宋体"/>
                <w:kern w:val="16"/>
                <w:position w:val="6"/>
              </w:rPr>
            </w:pPr>
            <w:r>
              <w:rPr>
                <w:rFonts w:ascii="宋体" w:eastAsia="宋体"/>
                <w:kern w:val="16"/>
                <w:position w:val="6"/>
              </w:rPr>
              <w:t>主要内容为电梯加装铝合金窗，详见工程量清单。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37" w:type="dxa"/>
            <w:vAlign w:val="center"/>
          </w:tcPr>
          <w:p>
            <w:pPr>
              <w:tabs>
                <w:tab w:val="left" w:pos="360"/>
                <w:tab w:val="left" w:pos="720"/>
                <w:tab w:val="left" w:pos="900"/>
              </w:tabs>
              <w:spacing w:line="276" w:lineRule="auto"/>
              <w:jc w:val="center"/>
              <w:rPr>
                <w:rFonts w:ascii="宋体" w:hAnsi="宋体"/>
                <w:sz w:val="24"/>
                <w:szCs w:val="24"/>
              </w:rPr>
            </w:pPr>
            <w:r>
              <w:rPr>
                <w:rFonts w:hint="eastAsia" w:ascii="宋体" w:hAnsi="宋体"/>
                <w:sz w:val="24"/>
                <w:szCs w:val="24"/>
              </w:rPr>
              <w:t>7</w:t>
            </w:r>
          </w:p>
        </w:tc>
        <w:tc>
          <w:tcPr>
            <w:tcW w:w="1920" w:type="dxa"/>
            <w:vAlign w:val="center"/>
          </w:tcPr>
          <w:p>
            <w:pPr>
              <w:tabs>
                <w:tab w:val="left" w:pos="540"/>
              </w:tabs>
              <w:spacing w:line="276" w:lineRule="auto"/>
              <w:jc w:val="center"/>
              <w:rPr>
                <w:rFonts w:ascii="宋体" w:hAnsi="宋体"/>
                <w:kern w:val="24"/>
                <w:sz w:val="24"/>
                <w:szCs w:val="24"/>
              </w:rPr>
            </w:pPr>
            <w:r>
              <w:rPr>
                <w:rFonts w:hint="eastAsia" w:ascii="宋体" w:hAnsi="宋体"/>
                <w:kern w:val="24"/>
                <w:sz w:val="24"/>
                <w:szCs w:val="24"/>
              </w:rPr>
              <w:t>工期要求</w:t>
            </w:r>
          </w:p>
        </w:tc>
        <w:tc>
          <w:tcPr>
            <w:tcW w:w="7209" w:type="dxa"/>
            <w:vAlign w:val="center"/>
          </w:tcPr>
          <w:p>
            <w:pPr>
              <w:pStyle w:val="28"/>
              <w:widowControl w:val="0"/>
              <w:pBdr>
                <w:bottom w:val="none" w:color="auto" w:sz="0" w:space="0"/>
              </w:pBdr>
              <w:tabs>
                <w:tab w:val="left" w:pos="540"/>
              </w:tabs>
              <w:spacing w:before="0" w:beforeAutospacing="0" w:after="0" w:afterAutospacing="0" w:line="276" w:lineRule="auto"/>
              <w:jc w:val="both"/>
              <w:rPr>
                <w:rFonts w:hint="default" w:ascii="宋体" w:eastAsia="宋体"/>
                <w:kern w:val="16"/>
              </w:rPr>
            </w:pPr>
            <w:r>
              <w:rPr>
                <w:rFonts w:ascii="宋体" w:eastAsia="宋体"/>
                <w:kern w:val="16"/>
              </w:rPr>
              <w:t>2022年</w:t>
            </w:r>
            <w:r>
              <w:rPr>
                <w:rFonts w:hint="eastAsia" w:ascii="宋体" w:eastAsia="宋体"/>
                <w:kern w:val="16"/>
                <w:lang w:val="en-US" w:eastAsia="zh-CN"/>
              </w:rPr>
              <w:t>5</w:t>
            </w:r>
            <w:r>
              <w:rPr>
                <w:rFonts w:ascii="宋体" w:eastAsia="宋体"/>
                <w:kern w:val="16"/>
              </w:rPr>
              <w:t>月</w:t>
            </w:r>
            <w:r>
              <w:rPr>
                <w:rFonts w:hint="eastAsia" w:ascii="宋体" w:eastAsia="宋体"/>
                <w:kern w:val="16"/>
                <w:lang w:val="en-US" w:eastAsia="zh-CN"/>
              </w:rPr>
              <w:t>1</w:t>
            </w:r>
            <w:r>
              <w:rPr>
                <w:rFonts w:ascii="宋体" w:eastAsia="宋体"/>
                <w:kern w:val="16"/>
              </w:rPr>
              <w:t>日前完工（具体开工时间以开工报告为准)。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37" w:type="dxa"/>
            <w:vAlign w:val="center"/>
          </w:tcPr>
          <w:p>
            <w:pPr>
              <w:tabs>
                <w:tab w:val="left" w:pos="360"/>
                <w:tab w:val="left" w:pos="720"/>
                <w:tab w:val="left" w:pos="900"/>
              </w:tabs>
              <w:spacing w:line="276" w:lineRule="auto"/>
              <w:jc w:val="center"/>
              <w:rPr>
                <w:rFonts w:ascii="宋体" w:hAnsi="宋体"/>
                <w:sz w:val="24"/>
                <w:szCs w:val="24"/>
              </w:rPr>
            </w:pPr>
            <w:r>
              <w:rPr>
                <w:rFonts w:hint="eastAsia" w:ascii="宋体" w:hAnsi="宋体"/>
                <w:sz w:val="24"/>
                <w:szCs w:val="24"/>
              </w:rPr>
              <w:t>8</w:t>
            </w:r>
          </w:p>
        </w:tc>
        <w:tc>
          <w:tcPr>
            <w:tcW w:w="1920" w:type="dxa"/>
            <w:vAlign w:val="center"/>
          </w:tcPr>
          <w:p>
            <w:pPr>
              <w:tabs>
                <w:tab w:val="left" w:pos="540"/>
              </w:tabs>
              <w:spacing w:line="276" w:lineRule="auto"/>
              <w:jc w:val="center"/>
              <w:rPr>
                <w:rFonts w:ascii="宋体" w:hAnsi="宋体"/>
                <w:kern w:val="24"/>
                <w:sz w:val="24"/>
                <w:szCs w:val="24"/>
              </w:rPr>
            </w:pPr>
            <w:r>
              <w:rPr>
                <w:rFonts w:hint="eastAsia" w:ascii="宋体" w:hAnsi="宋体"/>
                <w:kern w:val="24"/>
                <w:sz w:val="24"/>
                <w:szCs w:val="24"/>
              </w:rPr>
              <w:t>建设资金来源</w:t>
            </w:r>
          </w:p>
        </w:tc>
        <w:tc>
          <w:tcPr>
            <w:tcW w:w="7209" w:type="dxa"/>
            <w:vAlign w:val="center"/>
          </w:tcPr>
          <w:p>
            <w:pPr>
              <w:pStyle w:val="28"/>
              <w:widowControl w:val="0"/>
              <w:pBdr>
                <w:bottom w:val="none" w:color="auto" w:sz="0" w:space="0"/>
              </w:pBdr>
              <w:tabs>
                <w:tab w:val="left" w:pos="540"/>
              </w:tabs>
              <w:spacing w:before="0" w:beforeAutospacing="0" w:after="0" w:afterAutospacing="0" w:line="276" w:lineRule="auto"/>
              <w:jc w:val="both"/>
              <w:rPr>
                <w:rFonts w:hint="eastAsia" w:ascii="宋体" w:eastAsia="宋体"/>
                <w:kern w:val="16"/>
                <w:position w:val="6"/>
                <w:lang w:val="en-US" w:eastAsia="zh-CN"/>
              </w:rPr>
            </w:pPr>
            <w:r>
              <w:rPr>
                <w:rFonts w:ascii="宋体" w:eastAsia="宋体"/>
                <w:kern w:val="16"/>
                <w:position w:val="6"/>
              </w:rPr>
              <w:t>财政</w:t>
            </w:r>
            <w:r>
              <w:rPr>
                <w:rFonts w:hint="eastAsia" w:ascii="宋体" w:eastAsia="宋体"/>
                <w:kern w:val="16"/>
                <w:position w:val="6"/>
                <w:lang w:eastAsia="zh-CN"/>
              </w:rPr>
              <w:t>专户管理资金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837" w:type="dxa"/>
            <w:vAlign w:val="center"/>
          </w:tcPr>
          <w:p>
            <w:pPr>
              <w:tabs>
                <w:tab w:val="left" w:pos="360"/>
                <w:tab w:val="left" w:pos="720"/>
                <w:tab w:val="left" w:pos="900"/>
              </w:tabs>
              <w:spacing w:line="276" w:lineRule="auto"/>
              <w:jc w:val="center"/>
              <w:rPr>
                <w:rFonts w:ascii="宋体" w:hAnsi="宋体"/>
                <w:sz w:val="24"/>
                <w:szCs w:val="24"/>
              </w:rPr>
            </w:pPr>
            <w:r>
              <w:rPr>
                <w:rFonts w:hint="eastAsia" w:ascii="宋体" w:hAnsi="宋体"/>
                <w:sz w:val="24"/>
                <w:szCs w:val="24"/>
              </w:rPr>
              <w:t>9</w:t>
            </w:r>
          </w:p>
        </w:tc>
        <w:tc>
          <w:tcPr>
            <w:tcW w:w="1920" w:type="dxa"/>
            <w:vAlign w:val="center"/>
          </w:tcPr>
          <w:p>
            <w:pPr>
              <w:tabs>
                <w:tab w:val="left" w:pos="540"/>
              </w:tabs>
              <w:spacing w:line="276" w:lineRule="auto"/>
              <w:jc w:val="center"/>
              <w:rPr>
                <w:rFonts w:ascii="宋体" w:hAnsi="宋体"/>
                <w:kern w:val="24"/>
                <w:sz w:val="24"/>
                <w:szCs w:val="24"/>
              </w:rPr>
            </w:pPr>
            <w:r>
              <w:rPr>
                <w:rFonts w:hint="eastAsia" w:ascii="宋体" w:hAnsi="宋体"/>
                <w:kern w:val="24"/>
                <w:sz w:val="24"/>
                <w:szCs w:val="24"/>
              </w:rPr>
              <w:t>投标人资质</w:t>
            </w:r>
          </w:p>
          <w:p>
            <w:pPr>
              <w:tabs>
                <w:tab w:val="left" w:pos="540"/>
              </w:tabs>
              <w:spacing w:line="276" w:lineRule="auto"/>
              <w:jc w:val="center"/>
              <w:rPr>
                <w:rFonts w:ascii="宋体" w:hAnsi="宋体"/>
                <w:kern w:val="24"/>
                <w:sz w:val="24"/>
                <w:szCs w:val="24"/>
              </w:rPr>
            </w:pPr>
            <w:r>
              <w:rPr>
                <w:rFonts w:hint="eastAsia" w:ascii="宋体" w:hAnsi="宋体"/>
                <w:kern w:val="24"/>
                <w:sz w:val="24"/>
                <w:szCs w:val="24"/>
              </w:rPr>
              <w:t>等级要求</w:t>
            </w:r>
          </w:p>
        </w:tc>
        <w:tc>
          <w:tcPr>
            <w:tcW w:w="7209" w:type="dxa"/>
            <w:vAlign w:val="center"/>
          </w:tcPr>
          <w:p>
            <w:pPr>
              <w:tabs>
                <w:tab w:val="left" w:pos="7740"/>
              </w:tabs>
              <w:autoSpaceDE w:val="0"/>
              <w:autoSpaceDN w:val="0"/>
              <w:spacing w:line="360" w:lineRule="auto"/>
              <w:ind w:firstLine="560" w:firstLineChars="200"/>
              <w:rPr>
                <w:rFonts w:ascii="宋体" w:hAnsi="宋体"/>
                <w:color w:val="000000"/>
                <w:sz w:val="28"/>
                <w:szCs w:val="28"/>
                <w:u w:val="single"/>
              </w:rPr>
            </w:pPr>
            <w:r>
              <w:rPr>
                <w:rFonts w:hint="eastAsia" w:ascii="宋体" w:hAnsi="宋体"/>
                <w:color w:val="000000"/>
                <w:sz w:val="28"/>
                <w:szCs w:val="28"/>
              </w:rPr>
              <w:t>供应商</w:t>
            </w:r>
            <w:r>
              <w:rPr>
                <w:rFonts w:hint="eastAsia" w:ascii="宋体" w:hAnsi="宋体"/>
                <w:color w:val="000000"/>
                <w:sz w:val="28"/>
                <w:szCs w:val="28"/>
                <w:u w:val="single"/>
              </w:rPr>
              <w:t>营业执照须包含校园维修相关经营范围。</w:t>
            </w:r>
          </w:p>
          <w:p>
            <w:pPr>
              <w:spacing w:line="300" w:lineRule="exact"/>
              <w:rPr>
                <w:rFonts w:ascii="宋体" w:hAnsi="宋体"/>
                <w:kern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37" w:type="dxa"/>
            <w:vAlign w:val="center"/>
          </w:tcPr>
          <w:p>
            <w:pPr>
              <w:tabs>
                <w:tab w:val="left" w:pos="360"/>
                <w:tab w:val="left" w:pos="720"/>
                <w:tab w:val="left" w:pos="900"/>
              </w:tabs>
              <w:spacing w:line="276" w:lineRule="auto"/>
              <w:jc w:val="center"/>
              <w:rPr>
                <w:rFonts w:ascii="宋体" w:hAnsi="宋体"/>
                <w:sz w:val="24"/>
                <w:szCs w:val="24"/>
              </w:rPr>
            </w:pPr>
            <w:r>
              <w:rPr>
                <w:rFonts w:hint="eastAsia" w:ascii="宋体" w:hAnsi="宋体"/>
                <w:sz w:val="24"/>
                <w:szCs w:val="24"/>
              </w:rPr>
              <w:t>10</w:t>
            </w:r>
          </w:p>
        </w:tc>
        <w:tc>
          <w:tcPr>
            <w:tcW w:w="1920" w:type="dxa"/>
            <w:vAlign w:val="center"/>
          </w:tcPr>
          <w:p>
            <w:pPr>
              <w:tabs>
                <w:tab w:val="left" w:pos="540"/>
              </w:tabs>
              <w:spacing w:line="276" w:lineRule="auto"/>
              <w:jc w:val="center"/>
              <w:rPr>
                <w:rFonts w:ascii="宋体" w:hAnsi="宋体"/>
                <w:kern w:val="24"/>
                <w:sz w:val="24"/>
                <w:szCs w:val="24"/>
              </w:rPr>
            </w:pPr>
            <w:r>
              <w:rPr>
                <w:rFonts w:hint="eastAsia" w:ascii="宋体" w:hAnsi="宋体"/>
                <w:kern w:val="24"/>
                <w:sz w:val="24"/>
                <w:szCs w:val="24"/>
              </w:rPr>
              <w:t>是否接受联合体</w:t>
            </w:r>
          </w:p>
        </w:tc>
        <w:tc>
          <w:tcPr>
            <w:tcW w:w="7209" w:type="dxa"/>
            <w:vAlign w:val="center"/>
          </w:tcPr>
          <w:p>
            <w:pPr>
              <w:pStyle w:val="28"/>
              <w:widowControl w:val="0"/>
              <w:pBdr>
                <w:bottom w:val="none" w:color="auto" w:sz="0" w:space="0"/>
              </w:pBdr>
              <w:tabs>
                <w:tab w:val="left" w:pos="540"/>
              </w:tabs>
              <w:spacing w:before="0" w:beforeAutospacing="0" w:after="0" w:afterAutospacing="0" w:line="276" w:lineRule="auto"/>
              <w:jc w:val="both"/>
              <w:rPr>
                <w:rFonts w:hint="default" w:ascii="宋体" w:eastAsia="宋体"/>
                <w:kern w:val="16"/>
                <w:position w:val="6"/>
              </w:rPr>
            </w:pPr>
            <w:r>
              <w:rPr>
                <w:rFonts w:ascii="宋体" w:eastAsia="宋体"/>
                <w:kern w:val="16"/>
                <w:position w:val="6"/>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37" w:type="dxa"/>
            <w:vAlign w:val="center"/>
          </w:tcPr>
          <w:p>
            <w:pPr>
              <w:tabs>
                <w:tab w:val="left" w:pos="360"/>
                <w:tab w:val="left" w:pos="720"/>
                <w:tab w:val="left" w:pos="900"/>
              </w:tabs>
              <w:spacing w:line="276" w:lineRule="auto"/>
              <w:jc w:val="center"/>
              <w:rPr>
                <w:rFonts w:ascii="宋体" w:hAnsi="宋体"/>
                <w:sz w:val="24"/>
                <w:szCs w:val="24"/>
              </w:rPr>
            </w:pPr>
            <w:r>
              <w:rPr>
                <w:rFonts w:hint="eastAsia" w:ascii="宋体" w:hAnsi="宋体"/>
                <w:sz w:val="24"/>
                <w:szCs w:val="24"/>
              </w:rPr>
              <w:t>11</w:t>
            </w:r>
          </w:p>
        </w:tc>
        <w:tc>
          <w:tcPr>
            <w:tcW w:w="1920" w:type="dxa"/>
            <w:vAlign w:val="center"/>
          </w:tcPr>
          <w:p>
            <w:pPr>
              <w:tabs>
                <w:tab w:val="left" w:pos="540"/>
              </w:tabs>
              <w:spacing w:line="276" w:lineRule="auto"/>
              <w:jc w:val="center"/>
              <w:rPr>
                <w:rFonts w:ascii="宋体" w:hAnsi="宋体"/>
                <w:kern w:val="24"/>
                <w:sz w:val="24"/>
                <w:szCs w:val="24"/>
              </w:rPr>
            </w:pPr>
            <w:r>
              <w:rPr>
                <w:rFonts w:hint="eastAsia" w:ascii="宋体" w:hAnsi="宋体"/>
                <w:kern w:val="24"/>
                <w:sz w:val="24"/>
                <w:szCs w:val="24"/>
              </w:rPr>
              <w:t>资格审查方式</w:t>
            </w:r>
          </w:p>
        </w:tc>
        <w:tc>
          <w:tcPr>
            <w:tcW w:w="7209" w:type="dxa"/>
            <w:vAlign w:val="center"/>
          </w:tcPr>
          <w:p>
            <w:pPr>
              <w:pStyle w:val="28"/>
              <w:widowControl w:val="0"/>
              <w:pBdr>
                <w:bottom w:val="none" w:color="auto" w:sz="0" w:space="0"/>
              </w:pBdr>
              <w:tabs>
                <w:tab w:val="left" w:pos="540"/>
              </w:tabs>
              <w:spacing w:before="0" w:beforeAutospacing="0" w:after="0" w:afterAutospacing="0" w:line="276" w:lineRule="auto"/>
              <w:jc w:val="both"/>
              <w:rPr>
                <w:rFonts w:hint="default" w:ascii="宋体" w:eastAsia="宋体"/>
                <w:kern w:val="16"/>
                <w:position w:val="6"/>
              </w:rPr>
            </w:pPr>
            <w:r>
              <w:rPr>
                <w:rFonts w:ascii="宋体" w:eastAsia="宋体"/>
                <w:kern w:val="16"/>
                <w:position w:val="6"/>
              </w:rPr>
              <w:t>资格预审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jc w:val="center"/>
        </w:trPr>
        <w:tc>
          <w:tcPr>
            <w:tcW w:w="837" w:type="dxa"/>
            <w:vAlign w:val="center"/>
          </w:tcPr>
          <w:p>
            <w:pPr>
              <w:tabs>
                <w:tab w:val="left" w:pos="360"/>
                <w:tab w:val="left" w:pos="720"/>
                <w:tab w:val="left" w:pos="900"/>
              </w:tabs>
              <w:spacing w:line="276" w:lineRule="auto"/>
              <w:jc w:val="center"/>
              <w:rPr>
                <w:rFonts w:ascii="宋体" w:hAnsi="宋体"/>
                <w:sz w:val="24"/>
                <w:szCs w:val="24"/>
              </w:rPr>
            </w:pPr>
            <w:r>
              <w:rPr>
                <w:rFonts w:hint="eastAsia" w:ascii="宋体" w:hAnsi="宋体"/>
                <w:sz w:val="24"/>
                <w:szCs w:val="24"/>
              </w:rPr>
              <w:t>12</w:t>
            </w:r>
          </w:p>
        </w:tc>
        <w:tc>
          <w:tcPr>
            <w:tcW w:w="1920" w:type="dxa"/>
            <w:vAlign w:val="center"/>
          </w:tcPr>
          <w:p>
            <w:pPr>
              <w:tabs>
                <w:tab w:val="left" w:pos="540"/>
              </w:tabs>
              <w:spacing w:line="276" w:lineRule="auto"/>
              <w:jc w:val="center"/>
              <w:rPr>
                <w:rFonts w:ascii="宋体" w:hAnsi="宋体"/>
                <w:kern w:val="24"/>
                <w:sz w:val="24"/>
                <w:szCs w:val="24"/>
              </w:rPr>
            </w:pPr>
            <w:r>
              <w:rPr>
                <w:rFonts w:hint="eastAsia" w:ascii="宋体" w:hAnsi="宋体"/>
                <w:kern w:val="24"/>
                <w:sz w:val="24"/>
                <w:szCs w:val="24"/>
              </w:rPr>
              <w:t>评标程序</w:t>
            </w:r>
          </w:p>
        </w:tc>
        <w:tc>
          <w:tcPr>
            <w:tcW w:w="7209" w:type="dxa"/>
            <w:vAlign w:val="center"/>
          </w:tcPr>
          <w:p>
            <w:pPr>
              <w:spacing w:line="276" w:lineRule="auto"/>
              <w:rPr>
                <w:rFonts w:ascii="宋体" w:hAnsi="宋体"/>
                <w:sz w:val="24"/>
                <w:szCs w:val="24"/>
              </w:rPr>
            </w:pPr>
            <w:r>
              <w:rPr>
                <w:rFonts w:hint="eastAsia" w:ascii="宋体" w:hAnsi="宋体"/>
                <w:sz w:val="24"/>
                <w:szCs w:val="24"/>
              </w:rPr>
              <w:t>1、投标人及有关单位签到。</w:t>
            </w:r>
          </w:p>
          <w:p>
            <w:pPr>
              <w:spacing w:line="276" w:lineRule="auto"/>
              <w:rPr>
                <w:rFonts w:ascii="宋体" w:hAnsi="宋体"/>
                <w:sz w:val="24"/>
                <w:szCs w:val="24"/>
              </w:rPr>
            </w:pPr>
            <w:r>
              <w:rPr>
                <w:rFonts w:hint="eastAsia" w:ascii="宋体" w:hAnsi="宋体"/>
                <w:sz w:val="24"/>
                <w:szCs w:val="24"/>
              </w:rPr>
              <w:t>2、招标人宣布开标会议开始，介绍到会单位及人员。</w:t>
            </w:r>
          </w:p>
          <w:p>
            <w:pPr>
              <w:spacing w:line="276" w:lineRule="auto"/>
              <w:rPr>
                <w:rFonts w:ascii="宋体" w:hAnsi="宋体"/>
                <w:sz w:val="24"/>
                <w:szCs w:val="24"/>
              </w:rPr>
            </w:pPr>
            <w:r>
              <w:rPr>
                <w:rFonts w:hint="eastAsia" w:ascii="宋体" w:hAnsi="宋体"/>
                <w:sz w:val="24"/>
                <w:szCs w:val="24"/>
              </w:rPr>
              <w:t>3、检查各投标人投标文件的密封情况和送达时效。</w:t>
            </w:r>
          </w:p>
          <w:p>
            <w:pPr>
              <w:spacing w:line="276" w:lineRule="auto"/>
              <w:rPr>
                <w:rFonts w:ascii="宋体" w:hAnsi="宋体"/>
                <w:sz w:val="24"/>
                <w:szCs w:val="24"/>
              </w:rPr>
            </w:pPr>
            <w:r>
              <w:rPr>
                <w:rFonts w:hint="eastAsia" w:ascii="宋体" w:hAnsi="宋体"/>
                <w:sz w:val="24"/>
                <w:szCs w:val="24"/>
              </w:rPr>
              <w:t>4、由招标人按招标文件载明的要求对投标人证件进行核验。</w:t>
            </w:r>
          </w:p>
          <w:p>
            <w:pPr>
              <w:spacing w:line="276" w:lineRule="auto"/>
              <w:rPr>
                <w:rFonts w:ascii="宋体" w:hAnsi="宋体"/>
                <w:sz w:val="24"/>
                <w:szCs w:val="24"/>
              </w:rPr>
            </w:pPr>
            <w:r>
              <w:rPr>
                <w:rFonts w:hint="eastAsia" w:ascii="宋体" w:hAnsi="宋体"/>
                <w:sz w:val="24"/>
                <w:szCs w:val="24"/>
              </w:rPr>
              <w:t>5、开启各投标单位的投标文件，宣布各投标单位的报价。</w:t>
            </w:r>
          </w:p>
          <w:p>
            <w:pPr>
              <w:spacing w:line="276" w:lineRule="auto"/>
              <w:rPr>
                <w:rFonts w:ascii="宋体" w:hAnsi="宋体"/>
                <w:sz w:val="24"/>
                <w:szCs w:val="24"/>
              </w:rPr>
            </w:pPr>
            <w:r>
              <w:rPr>
                <w:rFonts w:hint="eastAsia" w:ascii="宋体" w:hAnsi="宋体"/>
                <w:sz w:val="24"/>
                <w:szCs w:val="24"/>
              </w:rPr>
              <w:t>6、根据招标文件载明的评标办法确定一名中标候选人。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7" w:type="dxa"/>
            <w:vAlign w:val="center"/>
          </w:tcPr>
          <w:p>
            <w:pPr>
              <w:tabs>
                <w:tab w:val="left" w:pos="360"/>
                <w:tab w:val="left" w:pos="720"/>
                <w:tab w:val="left" w:pos="900"/>
              </w:tabs>
              <w:spacing w:line="276" w:lineRule="auto"/>
              <w:jc w:val="center"/>
              <w:rPr>
                <w:rFonts w:ascii="宋体" w:hAnsi="宋体"/>
                <w:sz w:val="24"/>
                <w:szCs w:val="24"/>
              </w:rPr>
            </w:pPr>
            <w:r>
              <w:rPr>
                <w:rFonts w:hint="eastAsia" w:ascii="宋体" w:hAnsi="宋体"/>
                <w:sz w:val="24"/>
                <w:szCs w:val="24"/>
              </w:rPr>
              <w:t>13</w:t>
            </w:r>
          </w:p>
        </w:tc>
        <w:tc>
          <w:tcPr>
            <w:tcW w:w="1920" w:type="dxa"/>
            <w:vAlign w:val="center"/>
          </w:tcPr>
          <w:p>
            <w:pPr>
              <w:tabs>
                <w:tab w:val="left" w:pos="540"/>
              </w:tabs>
              <w:spacing w:line="276" w:lineRule="auto"/>
              <w:jc w:val="center"/>
              <w:rPr>
                <w:rFonts w:ascii="宋体" w:hAnsi="宋体"/>
                <w:kern w:val="24"/>
                <w:sz w:val="24"/>
                <w:szCs w:val="24"/>
              </w:rPr>
            </w:pPr>
            <w:r>
              <w:rPr>
                <w:rFonts w:hint="eastAsia" w:ascii="宋体" w:hAnsi="宋体"/>
                <w:kern w:val="24"/>
                <w:sz w:val="24"/>
                <w:szCs w:val="24"/>
              </w:rPr>
              <w:t>踏勘现场</w:t>
            </w:r>
          </w:p>
        </w:tc>
        <w:tc>
          <w:tcPr>
            <w:tcW w:w="7209" w:type="dxa"/>
            <w:vAlign w:val="center"/>
          </w:tcPr>
          <w:p>
            <w:pPr>
              <w:pStyle w:val="28"/>
              <w:widowControl w:val="0"/>
              <w:pBdr>
                <w:bottom w:val="none" w:color="auto" w:sz="0" w:space="0"/>
              </w:pBdr>
              <w:tabs>
                <w:tab w:val="left" w:pos="540"/>
              </w:tabs>
              <w:spacing w:before="0" w:beforeAutospacing="0" w:after="0" w:afterAutospacing="0" w:line="276" w:lineRule="auto"/>
              <w:jc w:val="both"/>
              <w:rPr>
                <w:rFonts w:hint="default" w:ascii="宋体" w:eastAsia="宋体"/>
                <w:kern w:val="16"/>
              </w:rPr>
            </w:pPr>
            <w:r>
              <w:rPr>
                <w:rFonts w:ascii="宋体" w:eastAsia="宋体" w:cs="宋体"/>
              </w:rPr>
              <w:t>投标单位自行踏勘现场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7" w:type="dxa"/>
            <w:vAlign w:val="center"/>
          </w:tcPr>
          <w:p>
            <w:pPr>
              <w:tabs>
                <w:tab w:val="left" w:pos="360"/>
                <w:tab w:val="left" w:pos="720"/>
                <w:tab w:val="left" w:pos="900"/>
              </w:tabs>
              <w:spacing w:line="276" w:lineRule="auto"/>
              <w:jc w:val="center"/>
              <w:rPr>
                <w:rFonts w:ascii="宋体" w:hAnsi="宋体"/>
                <w:sz w:val="24"/>
                <w:szCs w:val="24"/>
              </w:rPr>
            </w:pPr>
            <w:r>
              <w:rPr>
                <w:rFonts w:hint="eastAsia" w:ascii="宋体" w:hAnsi="宋体"/>
                <w:sz w:val="24"/>
                <w:szCs w:val="24"/>
              </w:rPr>
              <w:t>14</w:t>
            </w:r>
          </w:p>
        </w:tc>
        <w:tc>
          <w:tcPr>
            <w:tcW w:w="1920" w:type="dxa"/>
            <w:vAlign w:val="center"/>
          </w:tcPr>
          <w:p>
            <w:pPr>
              <w:tabs>
                <w:tab w:val="left" w:pos="540"/>
              </w:tabs>
              <w:spacing w:line="276" w:lineRule="auto"/>
              <w:jc w:val="center"/>
              <w:rPr>
                <w:rFonts w:ascii="宋体" w:hAnsi="宋体"/>
                <w:kern w:val="16"/>
                <w:sz w:val="24"/>
                <w:szCs w:val="24"/>
              </w:rPr>
            </w:pPr>
            <w:r>
              <w:rPr>
                <w:rFonts w:hint="eastAsia" w:ascii="宋体" w:hAnsi="宋体"/>
                <w:kern w:val="16"/>
                <w:sz w:val="24"/>
                <w:szCs w:val="24"/>
              </w:rPr>
              <w:t>投标有效期</w:t>
            </w:r>
          </w:p>
        </w:tc>
        <w:tc>
          <w:tcPr>
            <w:tcW w:w="7209" w:type="dxa"/>
            <w:vAlign w:val="center"/>
          </w:tcPr>
          <w:p>
            <w:pPr>
              <w:tabs>
                <w:tab w:val="left" w:pos="540"/>
              </w:tabs>
              <w:spacing w:line="276" w:lineRule="auto"/>
              <w:rPr>
                <w:rFonts w:ascii="宋体" w:hAnsi="宋体"/>
                <w:kern w:val="16"/>
                <w:sz w:val="24"/>
                <w:szCs w:val="24"/>
              </w:rPr>
            </w:pPr>
            <w:r>
              <w:rPr>
                <w:rFonts w:hint="eastAsia" w:ascii="宋体" w:hAnsi="宋体"/>
                <w:kern w:val="16"/>
                <w:sz w:val="24"/>
                <w:szCs w:val="24"/>
                <w:lang w:val="en-US" w:eastAsia="zh-CN"/>
              </w:rPr>
              <w:t>3</w:t>
            </w:r>
            <w:r>
              <w:rPr>
                <w:rFonts w:hint="eastAsia" w:ascii="宋体" w:hAnsi="宋体"/>
                <w:kern w:val="16"/>
                <w:sz w:val="24"/>
                <w:szCs w:val="24"/>
              </w:rPr>
              <w:t>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837" w:type="dxa"/>
            <w:vAlign w:val="center"/>
          </w:tcPr>
          <w:p>
            <w:pPr>
              <w:tabs>
                <w:tab w:val="left" w:pos="360"/>
                <w:tab w:val="left" w:pos="720"/>
                <w:tab w:val="left" w:pos="900"/>
              </w:tabs>
              <w:spacing w:line="276" w:lineRule="auto"/>
              <w:jc w:val="center"/>
              <w:rPr>
                <w:rFonts w:ascii="宋体" w:hAnsi="宋体"/>
                <w:sz w:val="24"/>
                <w:szCs w:val="24"/>
              </w:rPr>
            </w:pPr>
            <w:r>
              <w:rPr>
                <w:rFonts w:hint="eastAsia" w:ascii="宋体" w:hAnsi="宋体"/>
                <w:sz w:val="24"/>
                <w:szCs w:val="24"/>
              </w:rPr>
              <w:t>15</w:t>
            </w:r>
          </w:p>
        </w:tc>
        <w:tc>
          <w:tcPr>
            <w:tcW w:w="1920" w:type="dxa"/>
            <w:vAlign w:val="center"/>
          </w:tcPr>
          <w:p>
            <w:pPr>
              <w:tabs>
                <w:tab w:val="left" w:pos="540"/>
              </w:tabs>
              <w:spacing w:line="276" w:lineRule="auto"/>
              <w:jc w:val="center"/>
              <w:rPr>
                <w:rFonts w:ascii="宋体" w:hAnsi="宋体"/>
                <w:kern w:val="16"/>
                <w:sz w:val="24"/>
                <w:szCs w:val="24"/>
              </w:rPr>
            </w:pPr>
            <w:r>
              <w:rPr>
                <w:rFonts w:hint="eastAsia" w:ascii="宋体" w:hAnsi="宋体"/>
                <w:kern w:val="16"/>
                <w:sz w:val="24"/>
                <w:szCs w:val="24"/>
              </w:rPr>
              <w:t>投标文件份数</w:t>
            </w:r>
          </w:p>
        </w:tc>
        <w:tc>
          <w:tcPr>
            <w:tcW w:w="7209" w:type="dxa"/>
            <w:vAlign w:val="center"/>
          </w:tcPr>
          <w:p>
            <w:pPr>
              <w:tabs>
                <w:tab w:val="left" w:pos="540"/>
              </w:tabs>
              <w:spacing w:line="276" w:lineRule="auto"/>
              <w:rPr>
                <w:rFonts w:ascii="宋体" w:hAnsi="宋体"/>
                <w:sz w:val="24"/>
                <w:szCs w:val="24"/>
              </w:rPr>
            </w:pPr>
            <w:r>
              <w:rPr>
                <w:rFonts w:hint="eastAsia" w:ascii="宋体" w:hAnsi="宋体"/>
                <w:sz w:val="24"/>
                <w:szCs w:val="24"/>
              </w:rPr>
              <w:t>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837" w:type="dxa"/>
            <w:vAlign w:val="center"/>
          </w:tcPr>
          <w:p>
            <w:pPr>
              <w:tabs>
                <w:tab w:val="left" w:pos="360"/>
                <w:tab w:val="left" w:pos="720"/>
                <w:tab w:val="left" w:pos="900"/>
              </w:tabs>
              <w:spacing w:line="276" w:lineRule="auto"/>
              <w:jc w:val="center"/>
              <w:rPr>
                <w:rFonts w:ascii="宋体" w:hAnsi="宋体"/>
                <w:sz w:val="24"/>
                <w:szCs w:val="24"/>
              </w:rPr>
            </w:pPr>
            <w:r>
              <w:rPr>
                <w:rFonts w:hint="eastAsia" w:ascii="宋体" w:hAnsi="宋体"/>
                <w:sz w:val="24"/>
                <w:szCs w:val="24"/>
              </w:rPr>
              <w:t>16</w:t>
            </w:r>
          </w:p>
        </w:tc>
        <w:tc>
          <w:tcPr>
            <w:tcW w:w="1920" w:type="dxa"/>
            <w:vAlign w:val="center"/>
          </w:tcPr>
          <w:p>
            <w:pPr>
              <w:tabs>
                <w:tab w:val="left" w:pos="540"/>
              </w:tabs>
              <w:spacing w:line="276" w:lineRule="auto"/>
              <w:jc w:val="center"/>
              <w:rPr>
                <w:rFonts w:ascii="宋体" w:hAnsi="宋体"/>
                <w:kern w:val="16"/>
                <w:sz w:val="24"/>
                <w:szCs w:val="24"/>
              </w:rPr>
            </w:pPr>
            <w:r>
              <w:rPr>
                <w:rFonts w:hint="eastAsia" w:ascii="宋体" w:hAnsi="宋体"/>
                <w:kern w:val="16"/>
                <w:sz w:val="24"/>
                <w:szCs w:val="24"/>
              </w:rPr>
              <w:t>投标文件提交地点及截止时间</w:t>
            </w:r>
          </w:p>
        </w:tc>
        <w:tc>
          <w:tcPr>
            <w:tcW w:w="7209" w:type="dxa"/>
            <w:vAlign w:val="center"/>
          </w:tcPr>
          <w:p>
            <w:pPr>
              <w:tabs>
                <w:tab w:val="left" w:pos="540"/>
              </w:tabs>
              <w:spacing w:line="276" w:lineRule="auto"/>
              <w:ind w:left="26" w:hanging="26" w:hangingChars="11"/>
              <w:rPr>
                <w:rFonts w:ascii="宋体" w:hAnsi="宋体"/>
                <w:sz w:val="24"/>
              </w:rPr>
            </w:pPr>
            <w:r>
              <w:rPr>
                <w:rFonts w:hint="eastAsia" w:ascii="宋体" w:hAnsi="宋体"/>
                <w:kern w:val="16"/>
                <w:sz w:val="24"/>
              </w:rPr>
              <w:t>地点</w:t>
            </w:r>
            <w:r>
              <w:rPr>
                <w:rFonts w:hint="eastAsia" w:ascii="宋体" w:hAnsi="宋体"/>
                <w:sz w:val="24"/>
              </w:rPr>
              <w:t>：梧州开放大学教学楼四楼办公室。</w:t>
            </w:r>
          </w:p>
          <w:p>
            <w:pPr>
              <w:tabs>
                <w:tab w:val="left" w:pos="540"/>
              </w:tabs>
              <w:spacing w:line="276" w:lineRule="auto"/>
              <w:rPr>
                <w:rFonts w:hint="default" w:ascii="宋体" w:hAnsi="宋体" w:eastAsia="宋体"/>
                <w:kern w:val="16"/>
                <w:sz w:val="24"/>
                <w:szCs w:val="24"/>
                <w:lang w:val="en-US" w:eastAsia="zh-CN"/>
              </w:rPr>
            </w:pPr>
            <w:r>
              <w:rPr>
                <w:rFonts w:hint="eastAsia" w:ascii="宋体" w:hAnsi="宋体"/>
                <w:kern w:val="16"/>
                <w:sz w:val="24"/>
              </w:rPr>
              <w:t>时间：2022年</w:t>
            </w:r>
            <w:r>
              <w:rPr>
                <w:rFonts w:hint="eastAsia" w:ascii="宋体" w:hAnsi="宋体"/>
                <w:kern w:val="16"/>
                <w:sz w:val="24"/>
                <w:lang w:val="en-US" w:eastAsia="zh-CN"/>
              </w:rPr>
              <w:t>4</w:t>
            </w:r>
            <w:r>
              <w:rPr>
                <w:rFonts w:hint="eastAsia" w:ascii="宋体" w:hAnsi="宋体"/>
                <w:kern w:val="16"/>
                <w:sz w:val="24"/>
              </w:rPr>
              <w:t>月</w:t>
            </w:r>
            <w:r>
              <w:rPr>
                <w:rFonts w:hint="eastAsia" w:ascii="宋体" w:hAnsi="宋体"/>
                <w:kern w:val="16"/>
                <w:sz w:val="24"/>
                <w:lang w:val="en-US" w:eastAsia="zh-CN"/>
              </w:rPr>
              <w:t>1</w:t>
            </w:r>
            <w:r>
              <w:rPr>
                <w:rFonts w:hint="eastAsia" w:ascii="宋体" w:hAnsi="宋体"/>
                <w:kern w:val="16"/>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837" w:type="dxa"/>
            <w:vAlign w:val="center"/>
          </w:tcPr>
          <w:p>
            <w:pPr>
              <w:tabs>
                <w:tab w:val="left" w:pos="360"/>
                <w:tab w:val="left" w:pos="720"/>
                <w:tab w:val="left" w:pos="900"/>
              </w:tabs>
              <w:spacing w:line="276" w:lineRule="auto"/>
              <w:jc w:val="center"/>
              <w:rPr>
                <w:rFonts w:ascii="宋体" w:hAnsi="宋体"/>
                <w:sz w:val="24"/>
                <w:szCs w:val="24"/>
              </w:rPr>
            </w:pPr>
            <w:r>
              <w:rPr>
                <w:rFonts w:hint="eastAsia" w:ascii="宋体" w:hAnsi="宋体"/>
                <w:sz w:val="24"/>
                <w:szCs w:val="24"/>
              </w:rPr>
              <w:t>17</w:t>
            </w:r>
          </w:p>
        </w:tc>
        <w:tc>
          <w:tcPr>
            <w:tcW w:w="1920" w:type="dxa"/>
            <w:vAlign w:val="center"/>
          </w:tcPr>
          <w:p>
            <w:pPr>
              <w:tabs>
                <w:tab w:val="left" w:pos="540"/>
              </w:tabs>
              <w:spacing w:line="276" w:lineRule="auto"/>
              <w:jc w:val="center"/>
              <w:rPr>
                <w:rFonts w:ascii="宋体" w:hAnsi="宋体"/>
                <w:kern w:val="16"/>
                <w:sz w:val="24"/>
                <w:szCs w:val="24"/>
              </w:rPr>
            </w:pPr>
            <w:r>
              <w:rPr>
                <w:rFonts w:hint="eastAsia" w:ascii="宋体" w:hAnsi="宋体"/>
                <w:kern w:val="16"/>
                <w:sz w:val="24"/>
                <w:szCs w:val="24"/>
              </w:rPr>
              <w:t>开标会议</w:t>
            </w:r>
          </w:p>
        </w:tc>
        <w:tc>
          <w:tcPr>
            <w:tcW w:w="7209" w:type="dxa"/>
            <w:vAlign w:val="center"/>
          </w:tcPr>
          <w:p>
            <w:pPr>
              <w:tabs>
                <w:tab w:val="left" w:pos="540"/>
              </w:tabs>
              <w:spacing w:line="276" w:lineRule="auto"/>
              <w:rPr>
                <w:rFonts w:ascii="宋体" w:hAnsi="宋体"/>
                <w:sz w:val="24"/>
              </w:rPr>
            </w:pPr>
            <w:r>
              <w:rPr>
                <w:rFonts w:hint="eastAsia" w:ascii="宋体" w:hAnsi="宋体"/>
                <w:kern w:val="16"/>
                <w:sz w:val="24"/>
                <w:szCs w:val="24"/>
              </w:rPr>
              <w:t>时</w:t>
            </w:r>
            <w:r>
              <w:rPr>
                <w:rFonts w:hint="eastAsia" w:ascii="宋体" w:hAnsi="宋体"/>
                <w:sz w:val="24"/>
              </w:rPr>
              <w:t>间：</w:t>
            </w:r>
            <w:r>
              <w:rPr>
                <w:rFonts w:hint="eastAsia" w:ascii="宋体" w:hAnsi="宋体"/>
                <w:kern w:val="16"/>
                <w:sz w:val="24"/>
              </w:rPr>
              <w:t>2022年</w:t>
            </w:r>
            <w:r>
              <w:rPr>
                <w:rFonts w:hint="eastAsia" w:ascii="宋体" w:hAnsi="宋体"/>
                <w:kern w:val="16"/>
                <w:sz w:val="24"/>
                <w:lang w:val="en-US" w:eastAsia="zh-CN"/>
              </w:rPr>
              <w:t>4</w:t>
            </w:r>
            <w:r>
              <w:rPr>
                <w:rFonts w:hint="eastAsia" w:ascii="宋体" w:hAnsi="宋体"/>
                <w:kern w:val="16"/>
                <w:sz w:val="24"/>
              </w:rPr>
              <w:t>月</w:t>
            </w:r>
            <w:r>
              <w:rPr>
                <w:rFonts w:hint="eastAsia" w:ascii="宋体" w:hAnsi="宋体"/>
                <w:kern w:val="16"/>
                <w:sz w:val="24"/>
                <w:lang w:val="en-US" w:eastAsia="zh-CN"/>
              </w:rPr>
              <w:t>7</w:t>
            </w:r>
            <w:r>
              <w:rPr>
                <w:rFonts w:hint="eastAsia" w:ascii="宋体" w:hAnsi="宋体"/>
                <w:kern w:val="16"/>
                <w:sz w:val="24"/>
              </w:rPr>
              <w:t>日</w:t>
            </w:r>
            <w:bookmarkStart w:id="13" w:name="_GoBack"/>
            <w:bookmarkEnd w:id="13"/>
          </w:p>
          <w:p>
            <w:pPr>
              <w:tabs>
                <w:tab w:val="left" w:pos="540"/>
              </w:tabs>
              <w:spacing w:line="276" w:lineRule="auto"/>
              <w:ind w:left="26" w:hanging="26" w:hangingChars="11"/>
              <w:rPr>
                <w:rFonts w:ascii="宋体" w:hAnsi="宋体"/>
                <w:kern w:val="16"/>
                <w:sz w:val="24"/>
                <w:szCs w:val="24"/>
              </w:rPr>
            </w:pPr>
            <w:r>
              <w:rPr>
                <w:rFonts w:hint="eastAsia" w:ascii="宋体" w:hAnsi="宋体"/>
                <w:kern w:val="16"/>
                <w:sz w:val="24"/>
                <w:szCs w:val="24"/>
              </w:rPr>
              <w:t>地点</w:t>
            </w:r>
            <w:r>
              <w:rPr>
                <w:rFonts w:hint="eastAsia" w:ascii="宋体" w:hAnsi="宋体"/>
                <w:sz w:val="24"/>
              </w:rPr>
              <w:t>：梧州开放大学教学楼四楼会议室。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837" w:type="dxa"/>
            <w:vAlign w:val="center"/>
          </w:tcPr>
          <w:p>
            <w:pPr>
              <w:tabs>
                <w:tab w:val="left" w:pos="360"/>
                <w:tab w:val="left" w:pos="720"/>
                <w:tab w:val="left" w:pos="900"/>
              </w:tabs>
              <w:spacing w:line="276" w:lineRule="auto"/>
              <w:jc w:val="center"/>
              <w:rPr>
                <w:rFonts w:ascii="宋体" w:hAnsi="宋体"/>
                <w:sz w:val="24"/>
                <w:szCs w:val="24"/>
              </w:rPr>
            </w:pPr>
            <w:r>
              <w:rPr>
                <w:rFonts w:hint="eastAsia" w:ascii="宋体" w:hAnsi="宋体"/>
                <w:sz w:val="24"/>
                <w:szCs w:val="24"/>
              </w:rPr>
              <w:t>18</w:t>
            </w:r>
          </w:p>
        </w:tc>
        <w:tc>
          <w:tcPr>
            <w:tcW w:w="1920" w:type="dxa"/>
            <w:vAlign w:val="center"/>
          </w:tcPr>
          <w:p>
            <w:pPr>
              <w:tabs>
                <w:tab w:val="left" w:pos="540"/>
              </w:tabs>
              <w:spacing w:line="276" w:lineRule="auto"/>
              <w:jc w:val="center"/>
              <w:rPr>
                <w:rFonts w:ascii="宋体" w:hAnsi="宋体"/>
                <w:kern w:val="16"/>
                <w:sz w:val="24"/>
                <w:szCs w:val="24"/>
              </w:rPr>
            </w:pPr>
            <w:r>
              <w:rPr>
                <w:rFonts w:hint="eastAsia" w:ascii="宋体" w:hAnsi="宋体"/>
                <w:kern w:val="16"/>
                <w:sz w:val="24"/>
                <w:szCs w:val="24"/>
              </w:rPr>
              <w:t>评标办法</w:t>
            </w:r>
          </w:p>
        </w:tc>
        <w:tc>
          <w:tcPr>
            <w:tcW w:w="7209" w:type="dxa"/>
            <w:vAlign w:val="center"/>
          </w:tcPr>
          <w:p>
            <w:pPr>
              <w:spacing w:line="400" w:lineRule="exact"/>
              <w:rPr>
                <w:rFonts w:ascii="宋体" w:hAnsi="宋体"/>
                <w:kern w:val="16"/>
                <w:sz w:val="24"/>
                <w:szCs w:val="24"/>
              </w:rPr>
            </w:pPr>
            <w:r>
              <w:rPr>
                <w:rFonts w:hint="eastAsia" w:ascii="宋体" w:hAnsi="宋体"/>
                <w:b/>
                <w:kern w:val="16"/>
                <w:sz w:val="24"/>
              </w:rPr>
              <w:t>投标报价最低者为第一中标候选单位，最低投标报价相同时由招标人抽签确定第一中标候选单位。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37" w:type="dxa"/>
            <w:vAlign w:val="center"/>
          </w:tcPr>
          <w:p>
            <w:pPr>
              <w:tabs>
                <w:tab w:val="left" w:pos="360"/>
                <w:tab w:val="left" w:pos="720"/>
                <w:tab w:val="left" w:pos="900"/>
              </w:tabs>
              <w:spacing w:line="276" w:lineRule="auto"/>
              <w:jc w:val="center"/>
              <w:rPr>
                <w:rFonts w:ascii="宋体" w:hAnsi="宋体"/>
                <w:sz w:val="24"/>
                <w:szCs w:val="24"/>
              </w:rPr>
            </w:pPr>
            <w:r>
              <w:rPr>
                <w:rFonts w:hint="eastAsia" w:ascii="宋体" w:hAnsi="宋体"/>
                <w:sz w:val="24"/>
                <w:szCs w:val="24"/>
              </w:rPr>
              <w:t>19</w:t>
            </w:r>
          </w:p>
        </w:tc>
        <w:tc>
          <w:tcPr>
            <w:tcW w:w="1920" w:type="dxa"/>
            <w:vAlign w:val="center"/>
          </w:tcPr>
          <w:p>
            <w:pPr>
              <w:spacing w:after="156" w:afterLines="50" w:line="276" w:lineRule="auto"/>
              <w:jc w:val="center"/>
              <w:rPr>
                <w:rFonts w:ascii="宋体" w:hAnsi="宋体"/>
                <w:kern w:val="24"/>
                <w:sz w:val="24"/>
                <w:szCs w:val="24"/>
              </w:rPr>
            </w:pPr>
            <w:r>
              <w:rPr>
                <w:rFonts w:hint="eastAsia" w:ascii="宋体" w:hAnsi="宋体"/>
                <w:kern w:val="24"/>
                <w:sz w:val="24"/>
                <w:szCs w:val="24"/>
              </w:rPr>
              <w:t>解释</w:t>
            </w:r>
          </w:p>
        </w:tc>
        <w:tc>
          <w:tcPr>
            <w:tcW w:w="7209" w:type="dxa"/>
            <w:vAlign w:val="center"/>
          </w:tcPr>
          <w:p>
            <w:pPr>
              <w:spacing w:line="276" w:lineRule="auto"/>
              <w:rPr>
                <w:rFonts w:ascii="宋体" w:hAnsi="宋体"/>
                <w:kern w:val="24"/>
                <w:sz w:val="24"/>
                <w:szCs w:val="24"/>
              </w:rPr>
            </w:pPr>
            <w:r>
              <w:rPr>
                <w:rFonts w:hint="eastAsia" w:ascii="宋体" w:hAnsi="宋体"/>
                <w:kern w:val="24"/>
                <w:sz w:val="24"/>
                <w:szCs w:val="24"/>
              </w:rPr>
              <w:t>凡涉及到招标文件的解释权属于招标人。</w:t>
            </w:r>
          </w:p>
        </w:tc>
      </w:tr>
    </w:tbl>
    <w:p>
      <w:pPr>
        <w:tabs>
          <w:tab w:val="left" w:pos="360"/>
          <w:tab w:val="left" w:pos="720"/>
          <w:tab w:val="left" w:pos="900"/>
        </w:tabs>
        <w:spacing w:line="500" w:lineRule="exact"/>
        <w:jc w:val="left"/>
        <w:rPr>
          <w:rFonts w:ascii="宋体" w:hAnsi="宋体"/>
          <w:kern w:val="16"/>
          <w:szCs w:val="21"/>
        </w:rPr>
      </w:pPr>
      <w:r>
        <w:rPr>
          <w:rFonts w:hint="eastAsia" w:ascii="宋体" w:hAnsi="宋体"/>
          <w:kern w:val="16"/>
          <w:szCs w:val="21"/>
        </w:rPr>
        <w:t>注：招标人根据需要填写“说明与要求”的具体内容，对相应的栏竖向可根据需要扩展。</w:t>
      </w:r>
    </w:p>
    <w:p>
      <w:pPr>
        <w:tabs>
          <w:tab w:val="left" w:pos="7740"/>
        </w:tabs>
        <w:autoSpaceDE w:val="0"/>
        <w:autoSpaceDN w:val="0"/>
        <w:ind w:firstLine="560" w:firstLineChars="200"/>
        <w:rPr>
          <w:rFonts w:ascii="宋体" w:hAnsi="宋体"/>
          <w:bCs/>
          <w:color w:val="000000"/>
          <w:sz w:val="28"/>
          <w:szCs w:val="28"/>
        </w:rPr>
        <w:sectPr>
          <w:footerReference r:id="rId7" w:type="first"/>
          <w:footerReference r:id="rId6" w:type="default"/>
          <w:pgSz w:w="11907" w:h="16840"/>
          <w:pgMar w:top="1440" w:right="1800" w:bottom="1440" w:left="1800" w:header="429" w:footer="992" w:gutter="0"/>
          <w:pgNumType w:start="1"/>
          <w:cols w:space="720" w:num="1"/>
          <w:docGrid w:type="linesAndChars" w:linePitch="312" w:charSpace="0"/>
        </w:sectPr>
      </w:pPr>
      <w:r>
        <w:rPr>
          <w:rFonts w:hint="eastAsia" w:ascii="宋体" w:hAnsi="宋体"/>
          <w:bCs/>
          <w:color w:val="000000"/>
          <w:sz w:val="28"/>
          <w:szCs w:val="28"/>
        </w:rPr>
        <w:br w:type="page"/>
      </w:r>
    </w:p>
    <w:p>
      <w:pPr>
        <w:tabs>
          <w:tab w:val="left" w:pos="7740"/>
        </w:tabs>
        <w:autoSpaceDE w:val="0"/>
        <w:autoSpaceDN w:val="0"/>
        <w:ind w:firstLine="560" w:firstLineChars="200"/>
        <w:rPr>
          <w:rFonts w:ascii="宋体" w:hAnsi="宋体"/>
          <w:bCs/>
          <w:color w:val="000000"/>
          <w:sz w:val="28"/>
          <w:szCs w:val="28"/>
        </w:rPr>
      </w:pPr>
      <w:r>
        <w:rPr>
          <w:rFonts w:hint="eastAsia" w:ascii="宋体" w:hAnsi="宋体"/>
          <w:bCs/>
          <w:color w:val="000000"/>
          <w:sz w:val="28"/>
          <w:szCs w:val="28"/>
        </w:rPr>
        <w:t>招标工程量清单</w:t>
      </w:r>
    </w:p>
    <w:tbl>
      <w:tblPr>
        <w:tblStyle w:val="19"/>
        <w:tblW w:w="13623" w:type="dxa"/>
        <w:tblInd w:w="-15" w:type="dxa"/>
        <w:tblLayout w:type="fixed"/>
        <w:tblCellMar>
          <w:top w:w="0" w:type="dxa"/>
          <w:left w:w="0" w:type="dxa"/>
          <w:bottom w:w="0" w:type="dxa"/>
          <w:right w:w="0" w:type="dxa"/>
        </w:tblCellMar>
      </w:tblPr>
      <w:tblGrid>
        <w:gridCol w:w="472"/>
        <w:gridCol w:w="662"/>
        <w:gridCol w:w="1568"/>
        <w:gridCol w:w="857"/>
        <w:gridCol w:w="834"/>
        <w:gridCol w:w="930"/>
        <w:gridCol w:w="857"/>
        <w:gridCol w:w="956"/>
        <w:gridCol w:w="1"/>
        <w:gridCol w:w="958"/>
        <w:gridCol w:w="5528"/>
      </w:tblGrid>
      <w:tr>
        <w:tblPrEx>
          <w:tblCellMar>
            <w:top w:w="0" w:type="dxa"/>
            <w:left w:w="0" w:type="dxa"/>
            <w:bottom w:w="0" w:type="dxa"/>
            <w:right w:w="0" w:type="dxa"/>
          </w:tblCellMar>
        </w:tblPrEx>
        <w:trPr>
          <w:trHeight w:val="640" w:hRule="atLeast"/>
        </w:trPr>
        <w:tc>
          <w:tcPr>
            <w:tcW w:w="1134" w:type="dxa"/>
            <w:gridSpan w:val="2"/>
            <w:tcBorders>
              <w:top w:val="nil"/>
              <w:left w:val="nil"/>
              <w:bottom w:val="single" w:color="000000" w:sz="4" w:space="0"/>
              <w:right w:val="nil"/>
            </w:tcBorders>
          </w:tcPr>
          <w:p>
            <w:pPr>
              <w:widowControl/>
              <w:jc w:val="center"/>
              <w:textAlignment w:val="center"/>
              <w:rPr>
                <w:rFonts w:ascii="宋体" w:hAnsi="宋体" w:cs="宋体"/>
                <w:b/>
                <w:color w:val="000000"/>
                <w:kern w:val="0"/>
                <w:sz w:val="40"/>
                <w:szCs w:val="40"/>
                <w:lang w:bidi="ar"/>
              </w:rPr>
            </w:pPr>
          </w:p>
        </w:tc>
        <w:tc>
          <w:tcPr>
            <w:tcW w:w="12489" w:type="dxa"/>
            <w:gridSpan w:val="9"/>
            <w:tcBorders>
              <w:top w:val="nil"/>
              <w:left w:val="nil"/>
              <w:bottom w:val="single" w:color="000000" w:sz="4" w:space="0"/>
              <w:right w:val="nil"/>
            </w:tcBorders>
            <w:noWrap/>
            <w:tcMar>
              <w:top w:w="15" w:type="dxa"/>
              <w:left w:w="15" w:type="dxa"/>
              <w:right w:w="15" w:type="dxa"/>
            </w:tcMar>
            <w:vAlign w:val="center"/>
          </w:tcPr>
          <w:p>
            <w:pPr>
              <w:widowControl/>
              <w:jc w:val="center"/>
              <w:textAlignment w:val="center"/>
              <w:rPr>
                <w:rFonts w:ascii="宋体" w:hAnsi="宋体" w:cs="宋体"/>
                <w:b/>
                <w:color w:val="000000"/>
                <w:sz w:val="40"/>
                <w:szCs w:val="40"/>
              </w:rPr>
            </w:pPr>
            <w:r>
              <w:rPr>
                <w:rFonts w:hint="eastAsia" w:ascii="宋体" w:hAnsi="宋体" w:cs="宋体"/>
                <w:b/>
                <w:color w:val="000000"/>
                <w:kern w:val="0"/>
                <w:sz w:val="40"/>
                <w:szCs w:val="40"/>
                <w:lang w:bidi="ar"/>
              </w:rPr>
              <w:t>电梯加装铝合金窗工程预算（简化）</w:t>
            </w:r>
          </w:p>
        </w:tc>
      </w:tr>
      <w:tr>
        <w:tblPrEx>
          <w:tblCellMar>
            <w:top w:w="0" w:type="dxa"/>
            <w:left w:w="0" w:type="dxa"/>
            <w:bottom w:w="0" w:type="dxa"/>
            <w:right w:w="0" w:type="dxa"/>
          </w:tblCellMar>
        </w:tblPrEx>
        <w:trPr>
          <w:trHeight w:val="500" w:hRule="atLeast"/>
        </w:trPr>
        <w:tc>
          <w:tcPr>
            <w:tcW w:w="4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序号</w:t>
            </w:r>
          </w:p>
        </w:tc>
        <w:tc>
          <w:tcPr>
            <w:tcW w:w="22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项目名称</w:t>
            </w:r>
          </w:p>
        </w:tc>
        <w:tc>
          <w:tcPr>
            <w:tcW w:w="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单位</w:t>
            </w: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b/>
                <w:color w:val="000000"/>
                <w:sz w:val="22"/>
                <w:szCs w:val="22"/>
                <w:lang w:val="en-US" w:eastAsia="zh-CN"/>
              </w:rPr>
            </w:pPr>
            <w:r>
              <w:rPr>
                <w:rFonts w:hint="eastAsia" w:ascii="宋体" w:hAnsi="宋体" w:cs="宋体"/>
                <w:b/>
                <w:color w:val="000000"/>
                <w:kern w:val="0"/>
                <w:sz w:val="22"/>
                <w:szCs w:val="22"/>
                <w:lang w:eastAsia="zh-CN" w:bidi="ar"/>
              </w:rPr>
              <w:t>面积</w:t>
            </w:r>
            <w:r>
              <w:rPr>
                <w:rFonts w:hint="eastAsia" w:ascii="宋体" w:hAnsi="宋体" w:cs="宋体"/>
                <w:b/>
                <w:color w:val="000000"/>
                <w:kern w:val="0"/>
                <w:sz w:val="22"/>
                <w:szCs w:val="22"/>
                <w:lang w:val="en-US" w:eastAsia="zh-CN" w:bidi="ar"/>
              </w:rPr>
              <w:t>/</w:t>
            </w:r>
            <w:r>
              <w:rPr>
                <w:rFonts w:hint="eastAsia" w:ascii="宋体" w:hAnsi="宋体" w:cs="宋体"/>
                <w:color w:val="000000"/>
                <w:kern w:val="0"/>
                <w:sz w:val="22"/>
                <w:szCs w:val="22"/>
                <w:lang w:bidi="ar"/>
              </w:rPr>
              <w:t>m2</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22"/>
                <w:szCs w:val="22"/>
                <w:lang w:bidi="ar"/>
              </w:rPr>
            </w:pPr>
            <w:r>
              <w:rPr>
                <w:rFonts w:hint="eastAsia" w:ascii="宋体" w:hAnsi="宋体" w:cs="宋体"/>
                <w:b/>
                <w:color w:val="000000"/>
                <w:kern w:val="0"/>
                <w:sz w:val="22"/>
                <w:szCs w:val="22"/>
                <w:lang w:bidi="ar"/>
              </w:rPr>
              <w:t>规格</w:t>
            </w:r>
          </w:p>
          <w:p>
            <w:pPr>
              <w:widowControl/>
              <w:jc w:val="center"/>
              <w:textAlignment w:val="center"/>
              <w:rPr>
                <w:rFonts w:ascii="宋体" w:hAnsi="宋体" w:cs="宋体"/>
                <w:b/>
                <w:color w:val="000000"/>
                <w:kern w:val="0"/>
                <w:sz w:val="22"/>
                <w:szCs w:val="22"/>
                <w:lang w:bidi="ar"/>
              </w:rPr>
            </w:pPr>
            <w:r>
              <w:rPr>
                <w:rFonts w:hint="eastAsia" w:ascii="宋体" w:hAnsi="宋体" w:cs="宋体"/>
                <w:b/>
                <w:color w:val="000000"/>
                <w:kern w:val="0"/>
                <w:sz w:val="22"/>
                <w:szCs w:val="22"/>
                <w:lang w:bidi="ar"/>
              </w:rPr>
              <w:t>（宽*高）</w:t>
            </w:r>
          </w:p>
        </w:tc>
        <w:tc>
          <w:tcPr>
            <w:tcW w:w="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b/>
                <w:color w:val="000000"/>
                <w:sz w:val="22"/>
                <w:szCs w:val="22"/>
                <w:lang w:val="en-US" w:eastAsia="zh-CN"/>
              </w:rPr>
            </w:pPr>
            <w:r>
              <w:rPr>
                <w:rFonts w:hint="eastAsia" w:ascii="宋体" w:hAnsi="宋体" w:cs="宋体"/>
                <w:b/>
                <w:color w:val="000000"/>
                <w:sz w:val="22"/>
                <w:szCs w:val="22"/>
                <w:lang w:eastAsia="zh-CN"/>
              </w:rPr>
              <w:t>数量</w:t>
            </w:r>
            <w:r>
              <w:rPr>
                <w:rFonts w:hint="eastAsia" w:ascii="宋体" w:hAnsi="宋体" w:cs="宋体"/>
                <w:b/>
                <w:color w:val="000000"/>
                <w:sz w:val="22"/>
                <w:szCs w:val="22"/>
                <w:lang w:val="en-US" w:eastAsia="zh-CN"/>
              </w:rPr>
              <w:t>/个</w:t>
            </w:r>
          </w:p>
        </w:tc>
        <w:tc>
          <w:tcPr>
            <w:tcW w:w="95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单价（元）</w:t>
            </w:r>
          </w:p>
        </w:tc>
        <w:tc>
          <w:tcPr>
            <w:tcW w:w="9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kern w:val="0"/>
                <w:sz w:val="22"/>
                <w:szCs w:val="22"/>
                <w:lang w:bidi="ar"/>
              </w:rPr>
            </w:pPr>
            <w:r>
              <w:rPr>
                <w:rFonts w:hint="eastAsia" w:ascii="宋体" w:hAnsi="宋体" w:cs="宋体"/>
                <w:b/>
                <w:color w:val="000000"/>
                <w:kern w:val="0"/>
                <w:sz w:val="22"/>
                <w:szCs w:val="22"/>
                <w:lang w:bidi="ar"/>
              </w:rPr>
              <w:t>合价（元）</w:t>
            </w:r>
          </w:p>
        </w:tc>
        <w:tc>
          <w:tcPr>
            <w:tcW w:w="5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备注</w:t>
            </w:r>
          </w:p>
        </w:tc>
      </w:tr>
      <w:tr>
        <w:tblPrEx>
          <w:tblCellMar>
            <w:top w:w="0" w:type="dxa"/>
            <w:left w:w="0" w:type="dxa"/>
            <w:bottom w:w="0" w:type="dxa"/>
            <w:right w:w="0" w:type="dxa"/>
          </w:tblCellMar>
        </w:tblPrEx>
        <w:trPr>
          <w:trHeight w:val="1020" w:hRule="atLeast"/>
        </w:trPr>
        <w:tc>
          <w:tcPr>
            <w:tcW w:w="4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eastAsia="zh-CN" w:bidi="ar"/>
              </w:rPr>
              <w:t>加</w:t>
            </w:r>
            <w:r>
              <w:rPr>
                <w:rFonts w:hint="eastAsia" w:ascii="宋体" w:hAnsi="宋体" w:cs="宋体"/>
                <w:color w:val="000000"/>
                <w:kern w:val="0"/>
                <w:sz w:val="22"/>
                <w:szCs w:val="22"/>
                <w:lang w:bidi="ar"/>
              </w:rPr>
              <w:t>装铝合金窗</w:t>
            </w:r>
          </w:p>
        </w:tc>
        <w:tc>
          <w:tcPr>
            <w:tcW w:w="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m2</w:t>
            </w: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bidi="ar"/>
              </w:rPr>
              <w:t>45.6</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ascii="宋体" w:hAnsi="宋体" w:cs="宋体"/>
                <w:color w:val="000000"/>
                <w:sz w:val="22"/>
                <w:szCs w:val="22"/>
              </w:rPr>
              <w:t>1.9m*2m</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12</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p>
        </w:tc>
        <w:tc>
          <w:tcPr>
            <w:tcW w:w="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p>
        </w:tc>
        <w:tc>
          <w:tcPr>
            <w:tcW w:w="5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1、铝合金：宽5.5cm*1.2mm国标厚度；品牌：凤铝；</w:t>
            </w:r>
          </w:p>
          <w:p>
            <w:pPr>
              <w:rPr>
                <w:rFonts w:ascii="宋体" w:hAnsi="宋体" w:cs="宋体"/>
                <w:color w:val="000000"/>
                <w:kern w:val="0"/>
                <w:sz w:val="24"/>
                <w:szCs w:val="24"/>
                <w:lang w:bidi="ar"/>
              </w:rPr>
            </w:pPr>
            <w:r>
              <w:rPr>
                <w:rFonts w:hint="eastAsia" w:ascii="宋体" w:hAnsi="宋体" w:cs="宋体"/>
                <w:color w:val="000000"/>
                <w:kern w:val="0"/>
                <w:sz w:val="24"/>
                <w:szCs w:val="24"/>
                <w:lang w:bidi="ar"/>
              </w:rPr>
              <w:t>2、玻璃：钢化0.5mm国标厚度带合格证；</w:t>
            </w:r>
            <w:r>
              <w:rPr>
                <w:rFonts w:ascii="宋体" w:hAnsi="宋体" w:cs="宋体"/>
                <w:color w:val="000000"/>
                <w:kern w:val="0"/>
                <w:sz w:val="24"/>
                <w:szCs w:val="24"/>
                <w:lang w:bidi="ar"/>
              </w:rPr>
              <w:t xml:space="preserve"> </w:t>
            </w:r>
          </w:p>
        </w:tc>
      </w:tr>
    </w:tbl>
    <w:p>
      <w:pPr>
        <w:spacing w:line="700" w:lineRule="exact"/>
        <w:jc w:val="left"/>
        <w:rPr>
          <w:rFonts w:ascii="宋体" w:hAnsi="宋体"/>
          <w:b/>
          <w:sz w:val="30"/>
          <w:szCs w:val="30"/>
        </w:rPr>
        <w:sectPr>
          <w:type w:val="continuous"/>
          <w:pgSz w:w="16840" w:h="11907" w:orient="landscape"/>
          <w:pgMar w:top="1800" w:right="1440" w:bottom="1800" w:left="1440" w:header="429" w:footer="992" w:gutter="0"/>
          <w:pgNumType w:start="1"/>
          <w:cols w:space="720" w:num="1"/>
          <w:titlePg/>
          <w:docGrid w:type="linesAndChars" w:linePitch="312" w:charSpace="0"/>
        </w:sectPr>
      </w:pPr>
      <w:bookmarkStart w:id="1" w:name="_Toc22189"/>
      <w:r>
        <w:rPr>
          <w:rFonts w:hint="eastAsia" w:ascii="宋体" w:hAnsi="宋体"/>
          <w:b/>
          <w:sz w:val="30"/>
          <w:szCs w:val="30"/>
        </w:rPr>
        <w:t xml:space="preserve">施工要求： </w:t>
      </w:r>
      <w:r>
        <w:rPr>
          <w:rFonts w:hint="eastAsia" w:ascii="宋体" w:hAnsi="宋体"/>
          <w:sz w:val="30"/>
          <w:szCs w:val="30"/>
        </w:rPr>
        <w:t>窗台高1.5米留装气头窗，窗框内外四边填充密封建材，后打收边玻璃胶。</w:t>
      </w:r>
    </w:p>
    <w:p>
      <w:pPr>
        <w:spacing w:line="700" w:lineRule="exact"/>
        <w:jc w:val="center"/>
        <w:rPr>
          <w:rFonts w:ascii="宋体" w:hAnsi="宋体"/>
          <w:b/>
          <w:sz w:val="36"/>
          <w:szCs w:val="36"/>
        </w:rPr>
      </w:pPr>
      <w:r>
        <w:rPr>
          <w:rStyle w:val="35"/>
          <w:rFonts w:hint="eastAsia"/>
        </w:rPr>
        <w:t>第一章  招标须知</w:t>
      </w:r>
      <w:bookmarkEnd w:id="1"/>
    </w:p>
    <w:p>
      <w:pPr>
        <w:pStyle w:val="3"/>
      </w:pPr>
      <w:bookmarkStart w:id="2" w:name="_Toc20587"/>
      <w:r>
        <w:rPr>
          <w:rFonts w:hint="eastAsia"/>
        </w:rPr>
        <w:t>一、总 则</w:t>
      </w:r>
      <w:bookmarkEnd w:id="2"/>
    </w:p>
    <w:p>
      <w:pPr>
        <w:spacing w:line="440" w:lineRule="exact"/>
        <w:ind w:firstLine="480" w:firstLineChars="200"/>
        <w:rPr>
          <w:rFonts w:ascii="宋体" w:hAnsi="宋体"/>
          <w:b/>
          <w:sz w:val="24"/>
          <w:szCs w:val="24"/>
        </w:rPr>
      </w:pPr>
      <w:r>
        <w:rPr>
          <w:rFonts w:hint="eastAsia" w:ascii="宋体" w:hAnsi="宋体"/>
          <w:b/>
          <w:sz w:val="24"/>
          <w:szCs w:val="24"/>
        </w:rPr>
        <w:t>1. 工程说明</w:t>
      </w:r>
    </w:p>
    <w:p>
      <w:pPr>
        <w:spacing w:line="440" w:lineRule="exact"/>
        <w:ind w:firstLine="480" w:firstLineChars="200"/>
        <w:rPr>
          <w:rFonts w:ascii="宋体" w:hAnsi="宋体"/>
          <w:b/>
          <w:sz w:val="24"/>
          <w:szCs w:val="24"/>
        </w:rPr>
      </w:pPr>
      <w:r>
        <w:rPr>
          <w:rFonts w:hint="eastAsia" w:ascii="宋体" w:hAnsi="宋体"/>
          <w:sz w:val="24"/>
          <w:szCs w:val="24"/>
        </w:rPr>
        <w:t>详见前附表。</w:t>
      </w:r>
    </w:p>
    <w:p>
      <w:pPr>
        <w:spacing w:line="440" w:lineRule="exact"/>
        <w:ind w:firstLine="480" w:firstLineChars="200"/>
        <w:rPr>
          <w:rFonts w:ascii="宋体" w:hAnsi="宋体"/>
          <w:b/>
          <w:sz w:val="24"/>
          <w:szCs w:val="24"/>
        </w:rPr>
      </w:pPr>
      <w:r>
        <w:rPr>
          <w:rFonts w:hint="eastAsia" w:ascii="宋体" w:hAnsi="宋体"/>
          <w:b/>
          <w:sz w:val="24"/>
          <w:szCs w:val="24"/>
        </w:rPr>
        <w:t>2. 招标范围</w:t>
      </w:r>
    </w:p>
    <w:p>
      <w:pPr>
        <w:spacing w:line="440" w:lineRule="exact"/>
        <w:ind w:firstLine="480" w:firstLineChars="200"/>
        <w:rPr>
          <w:rFonts w:ascii="宋体" w:hAnsi="宋体"/>
          <w:b/>
          <w:sz w:val="24"/>
          <w:szCs w:val="24"/>
        </w:rPr>
      </w:pPr>
      <w:r>
        <w:rPr>
          <w:rFonts w:hint="eastAsia" w:ascii="宋体" w:hAnsi="宋体"/>
          <w:sz w:val="24"/>
          <w:szCs w:val="24"/>
        </w:rPr>
        <w:t>详见前附表。</w:t>
      </w:r>
    </w:p>
    <w:p>
      <w:pPr>
        <w:spacing w:line="440" w:lineRule="exact"/>
        <w:ind w:firstLine="480" w:firstLineChars="200"/>
        <w:rPr>
          <w:rFonts w:ascii="宋体" w:hAnsi="宋体"/>
          <w:b/>
          <w:sz w:val="24"/>
          <w:szCs w:val="24"/>
        </w:rPr>
      </w:pPr>
      <w:r>
        <w:rPr>
          <w:rFonts w:hint="eastAsia" w:ascii="宋体" w:hAnsi="宋体"/>
          <w:b/>
          <w:sz w:val="24"/>
          <w:szCs w:val="24"/>
        </w:rPr>
        <w:t>3. 招标方式</w:t>
      </w:r>
    </w:p>
    <w:p>
      <w:pPr>
        <w:spacing w:line="440" w:lineRule="exact"/>
        <w:ind w:firstLine="480" w:firstLineChars="200"/>
        <w:rPr>
          <w:rFonts w:ascii="宋体" w:hAnsi="宋体"/>
          <w:sz w:val="24"/>
          <w:szCs w:val="24"/>
        </w:rPr>
      </w:pPr>
      <w:r>
        <w:rPr>
          <w:rFonts w:hint="eastAsia" w:ascii="宋体" w:hAnsi="宋体"/>
          <w:sz w:val="24"/>
        </w:rPr>
        <w:t>根据《中华人民共和国政府采购法》。</w:t>
      </w:r>
    </w:p>
    <w:p>
      <w:pPr>
        <w:spacing w:line="440" w:lineRule="exact"/>
        <w:ind w:firstLine="480" w:firstLineChars="200"/>
        <w:rPr>
          <w:rFonts w:ascii="宋体" w:hAnsi="宋体"/>
          <w:b/>
          <w:sz w:val="24"/>
          <w:szCs w:val="24"/>
        </w:rPr>
      </w:pPr>
      <w:r>
        <w:rPr>
          <w:rFonts w:hint="eastAsia" w:ascii="宋体" w:hAnsi="宋体"/>
          <w:b/>
          <w:sz w:val="24"/>
          <w:szCs w:val="24"/>
        </w:rPr>
        <w:t>4. 资金来源</w:t>
      </w:r>
    </w:p>
    <w:p>
      <w:pPr>
        <w:spacing w:line="440" w:lineRule="exact"/>
        <w:ind w:firstLine="480" w:firstLineChars="200"/>
        <w:rPr>
          <w:rFonts w:ascii="宋体" w:hAnsi="宋体"/>
          <w:b/>
          <w:sz w:val="24"/>
          <w:szCs w:val="24"/>
        </w:rPr>
      </w:pPr>
      <w:r>
        <w:rPr>
          <w:rFonts w:hint="eastAsia" w:ascii="宋体" w:hAnsi="宋体"/>
          <w:sz w:val="24"/>
          <w:szCs w:val="24"/>
        </w:rPr>
        <w:t>详见前附表。</w:t>
      </w:r>
    </w:p>
    <w:p>
      <w:pPr>
        <w:spacing w:line="440" w:lineRule="exact"/>
        <w:ind w:firstLine="480" w:firstLineChars="200"/>
        <w:rPr>
          <w:rFonts w:ascii="宋体" w:hAnsi="宋体"/>
          <w:b/>
          <w:sz w:val="24"/>
          <w:szCs w:val="24"/>
        </w:rPr>
      </w:pPr>
      <w:r>
        <w:rPr>
          <w:rFonts w:hint="eastAsia" w:ascii="宋体" w:hAnsi="宋体"/>
          <w:b/>
          <w:sz w:val="24"/>
          <w:szCs w:val="24"/>
        </w:rPr>
        <w:t>5. 投标费用</w:t>
      </w:r>
    </w:p>
    <w:p>
      <w:pPr>
        <w:spacing w:line="440" w:lineRule="exact"/>
        <w:ind w:firstLine="480" w:firstLineChars="200"/>
        <w:rPr>
          <w:rFonts w:ascii="宋体" w:hAnsi="宋体"/>
          <w:sz w:val="24"/>
          <w:szCs w:val="24"/>
        </w:rPr>
      </w:pPr>
      <w:r>
        <w:rPr>
          <w:rFonts w:hint="eastAsia" w:ascii="宋体" w:hAnsi="宋体"/>
          <w:sz w:val="24"/>
          <w:szCs w:val="24"/>
        </w:rPr>
        <w:t>5.1 投标人应自行承担编制投标文件与递交投标文件所涉及的一切费用。不论投标结果如何，招标人对上述费用不负任何责任。</w:t>
      </w:r>
    </w:p>
    <w:p>
      <w:pPr>
        <w:pStyle w:val="3"/>
      </w:pPr>
      <w:bookmarkStart w:id="3" w:name="_Toc10673"/>
      <w:r>
        <w:rPr>
          <w:rFonts w:hint="eastAsia"/>
        </w:rPr>
        <w:t>二、招标文件</w:t>
      </w:r>
      <w:bookmarkEnd w:id="3"/>
    </w:p>
    <w:p>
      <w:pPr>
        <w:spacing w:line="440" w:lineRule="exact"/>
        <w:ind w:firstLine="480" w:firstLineChars="200"/>
        <w:rPr>
          <w:rFonts w:ascii="宋体" w:hAnsi="宋体"/>
          <w:b/>
          <w:sz w:val="24"/>
          <w:szCs w:val="24"/>
        </w:rPr>
      </w:pPr>
      <w:r>
        <w:rPr>
          <w:rFonts w:hint="eastAsia" w:ascii="宋体" w:hAnsi="宋体"/>
          <w:b/>
          <w:sz w:val="24"/>
          <w:szCs w:val="24"/>
        </w:rPr>
        <w:t>1. 招标文件的组成</w:t>
      </w:r>
    </w:p>
    <w:p>
      <w:pPr>
        <w:spacing w:line="440" w:lineRule="exact"/>
        <w:ind w:firstLine="480" w:firstLineChars="200"/>
        <w:rPr>
          <w:rFonts w:ascii="宋体" w:hAnsi="宋体"/>
          <w:spacing w:val="-4"/>
          <w:sz w:val="24"/>
          <w:szCs w:val="24"/>
        </w:rPr>
      </w:pPr>
      <w:r>
        <w:rPr>
          <w:rFonts w:hint="eastAsia" w:ascii="宋体" w:hAnsi="宋体"/>
          <w:sz w:val="24"/>
          <w:szCs w:val="24"/>
        </w:rPr>
        <w:t>1.1招标文件包括投标须知前附表、投标须知、合同主要协议条款、技术规范、施工图纸（如有）、工程量清单（如有）、投标书及投标书附录、报价表等</w:t>
      </w:r>
      <w:r>
        <w:rPr>
          <w:rFonts w:hint="eastAsia" w:ascii="宋体" w:hAnsi="宋体"/>
          <w:spacing w:val="-4"/>
          <w:sz w:val="24"/>
          <w:szCs w:val="24"/>
        </w:rPr>
        <w:t>。</w:t>
      </w:r>
    </w:p>
    <w:p>
      <w:pPr>
        <w:spacing w:line="440" w:lineRule="exact"/>
        <w:ind w:firstLine="480" w:firstLineChars="200"/>
        <w:rPr>
          <w:rFonts w:ascii="宋体" w:hAnsi="宋体"/>
          <w:sz w:val="24"/>
          <w:szCs w:val="24"/>
        </w:rPr>
      </w:pPr>
      <w:r>
        <w:rPr>
          <w:rFonts w:hint="eastAsia" w:ascii="宋体" w:hAnsi="宋体"/>
          <w:sz w:val="24"/>
          <w:szCs w:val="24"/>
        </w:rPr>
        <w:t>1.2投标人应认真阅读招标文件中所有事项、格式、条款和规范要求等，若投标人的投标文件没有按招标文件要求提交全部资料，或投标文件没有对招标文件做出实质性响应，其风险由投标人自行承担，并根据有关条款规定，该投标文件将被拒绝。</w:t>
      </w:r>
    </w:p>
    <w:p>
      <w:pPr>
        <w:spacing w:line="440" w:lineRule="exact"/>
        <w:ind w:firstLine="480" w:firstLineChars="200"/>
        <w:rPr>
          <w:rFonts w:ascii="宋体" w:hAnsi="宋体"/>
          <w:b/>
          <w:sz w:val="24"/>
          <w:szCs w:val="24"/>
        </w:rPr>
      </w:pPr>
      <w:r>
        <w:rPr>
          <w:rFonts w:hint="eastAsia" w:ascii="宋体" w:hAnsi="宋体"/>
          <w:b/>
          <w:sz w:val="24"/>
          <w:szCs w:val="24"/>
        </w:rPr>
        <w:t>2. 招标文件的解释</w:t>
      </w:r>
    </w:p>
    <w:p>
      <w:pPr>
        <w:spacing w:line="380" w:lineRule="exact"/>
        <w:ind w:firstLine="484" w:firstLineChars="202"/>
        <w:rPr>
          <w:rFonts w:ascii="宋体" w:hAnsi="宋体"/>
          <w:sz w:val="24"/>
          <w:szCs w:val="24"/>
        </w:rPr>
      </w:pPr>
      <w:r>
        <w:rPr>
          <w:rFonts w:hint="eastAsia" w:ascii="宋体" w:hAnsi="宋体"/>
          <w:sz w:val="24"/>
          <w:szCs w:val="24"/>
        </w:rPr>
        <w:t>2.1招标人对发出的招标文件修正应以招标补充文件或答疑纪要的形式，将修正的内容通知所有投标人。</w:t>
      </w:r>
    </w:p>
    <w:p>
      <w:pPr>
        <w:spacing w:line="440" w:lineRule="exact"/>
        <w:ind w:firstLine="480" w:firstLineChars="200"/>
        <w:rPr>
          <w:rFonts w:ascii="宋体" w:hAnsi="宋体"/>
          <w:b/>
          <w:sz w:val="24"/>
          <w:szCs w:val="24"/>
        </w:rPr>
      </w:pPr>
      <w:r>
        <w:rPr>
          <w:rFonts w:hint="eastAsia" w:ascii="宋体" w:hAnsi="宋体"/>
          <w:sz w:val="24"/>
          <w:szCs w:val="24"/>
        </w:rPr>
        <w:t>2.2投标人在收到招标文件后，若有问题需要澄清，应前附表规定书面形式（包括书面文字、传真等）向招标人提出，招标人汇总后予以解答，同时答疑纪要或补充通知将送给所有获得招标文件的投标人。</w:t>
      </w:r>
    </w:p>
    <w:p>
      <w:pPr>
        <w:spacing w:line="440" w:lineRule="exact"/>
        <w:ind w:firstLine="480" w:firstLineChars="200"/>
        <w:rPr>
          <w:rFonts w:ascii="宋体" w:hAnsi="宋体"/>
          <w:b/>
          <w:sz w:val="24"/>
          <w:szCs w:val="24"/>
        </w:rPr>
      </w:pPr>
      <w:r>
        <w:rPr>
          <w:rFonts w:hint="eastAsia" w:ascii="宋体" w:hAnsi="宋体"/>
          <w:b/>
          <w:sz w:val="24"/>
          <w:szCs w:val="24"/>
        </w:rPr>
        <w:t>3. 招标文件的修改</w:t>
      </w:r>
    </w:p>
    <w:p>
      <w:pPr>
        <w:spacing w:line="440" w:lineRule="exact"/>
        <w:ind w:firstLine="480" w:firstLineChars="200"/>
        <w:rPr>
          <w:rFonts w:ascii="宋体" w:hAnsi="宋体"/>
          <w:sz w:val="24"/>
          <w:szCs w:val="24"/>
        </w:rPr>
      </w:pPr>
      <w:r>
        <w:rPr>
          <w:rFonts w:hint="eastAsia" w:ascii="宋体" w:hAnsi="宋体"/>
          <w:sz w:val="24"/>
          <w:szCs w:val="24"/>
        </w:rPr>
        <w:t>3.1 在投标截止日1日前，招标人可以用答疑纪要或补充通知的方式修改招标文件。</w:t>
      </w:r>
    </w:p>
    <w:p>
      <w:pPr>
        <w:spacing w:line="440" w:lineRule="exact"/>
        <w:ind w:firstLine="480" w:firstLineChars="200"/>
        <w:rPr>
          <w:rFonts w:ascii="宋体" w:hAnsi="宋体"/>
          <w:sz w:val="24"/>
          <w:szCs w:val="24"/>
        </w:rPr>
      </w:pPr>
      <w:r>
        <w:rPr>
          <w:rFonts w:hint="eastAsia" w:ascii="宋体" w:hAnsi="宋体"/>
          <w:sz w:val="24"/>
          <w:szCs w:val="24"/>
        </w:rPr>
        <w:t>3.2 答疑纪要或补充通知将以书面方式发给所有获得招标文件的投标人，答疑纪要或补充通知作为招标文件的组成部分，对投标人起约束作用。</w:t>
      </w:r>
    </w:p>
    <w:p>
      <w:pPr>
        <w:spacing w:line="440" w:lineRule="exact"/>
        <w:ind w:firstLine="480" w:firstLineChars="200"/>
        <w:rPr>
          <w:rFonts w:ascii="宋体" w:hAnsi="宋体"/>
          <w:sz w:val="24"/>
          <w:szCs w:val="24"/>
        </w:rPr>
      </w:pPr>
      <w:r>
        <w:rPr>
          <w:rFonts w:hint="eastAsia" w:ascii="宋体" w:hAnsi="宋体"/>
          <w:sz w:val="24"/>
          <w:szCs w:val="24"/>
        </w:rPr>
        <w:t>3.3 为使投标人在编制投标文件时把答疑纪要或补充通知内容考虑进去，招标人将按规定延长递交投标文件的截止日期和开标会议时间。</w:t>
      </w:r>
    </w:p>
    <w:p>
      <w:pPr>
        <w:tabs>
          <w:tab w:val="left" w:pos="6494"/>
        </w:tabs>
        <w:spacing w:line="440" w:lineRule="exact"/>
        <w:ind w:firstLine="480" w:firstLineChars="200"/>
        <w:rPr>
          <w:rFonts w:ascii="宋体" w:hAnsi="宋体"/>
          <w:kern w:val="16"/>
          <w:sz w:val="24"/>
          <w:szCs w:val="24"/>
        </w:rPr>
      </w:pPr>
      <w:r>
        <w:rPr>
          <w:rFonts w:ascii="宋体" w:hAnsi="宋体"/>
          <w:kern w:val="16"/>
          <w:sz w:val="24"/>
          <w:szCs w:val="24"/>
        </w:rPr>
        <w:tab/>
      </w:r>
    </w:p>
    <w:p>
      <w:pPr>
        <w:pStyle w:val="3"/>
      </w:pPr>
      <w:bookmarkStart w:id="4" w:name="_Toc20367"/>
      <w:r>
        <w:rPr>
          <w:rFonts w:hint="eastAsia"/>
        </w:rPr>
        <w:t>三、投标文件的编制</w:t>
      </w:r>
      <w:bookmarkEnd w:id="4"/>
    </w:p>
    <w:p>
      <w:pPr>
        <w:spacing w:line="440" w:lineRule="exact"/>
        <w:ind w:firstLine="480" w:firstLineChars="200"/>
        <w:jc w:val="left"/>
        <w:rPr>
          <w:rFonts w:ascii="宋体" w:hAnsi="宋体"/>
          <w:sz w:val="24"/>
          <w:szCs w:val="24"/>
        </w:rPr>
      </w:pPr>
      <w:r>
        <w:rPr>
          <w:rFonts w:hint="eastAsia" w:ascii="宋体" w:hAnsi="宋体"/>
          <w:b/>
          <w:sz w:val="24"/>
          <w:szCs w:val="24"/>
        </w:rPr>
        <w:t>1. 投标文件的组成</w:t>
      </w:r>
    </w:p>
    <w:p>
      <w:pPr>
        <w:pStyle w:val="15"/>
        <w:spacing w:line="440" w:lineRule="exact"/>
        <w:ind w:firstLine="480" w:firstLineChars="200"/>
        <w:rPr>
          <w:rFonts w:hAnsi="宋体"/>
          <w:szCs w:val="24"/>
        </w:rPr>
      </w:pPr>
      <w:r>
        <w:rPr>
          <w:rFonts w:hint="eastAsia" w:hAnsi="宋体"/>
          <w:szCs w:val="24"/>
        </w:rPr>
        <w:t>1.1投标人营业执照、资质证书复印件；</w:t>
      </w:r>
    </w:p>
    <w:p>
      <w:pPr>
        <w:pStyle w:val="15"/>
        <w:spacing w:line="440" w:lineRule="exact"/>
        <w:ind w:firstLine="480" w:firstLineChars="200"/>
        <w:rPr>
          <w:rFonts w:hAnsi="宋体"/>
          <w:szCs w:val="24"/>
        </w:rPr>
      </w:pPr>
      <w:r>
        <w:rPr>
          <w:rFonts w:hint="eastAsia" w:hAnsi="宋体"/>
          <w:szCs w:val="24"/>
        </w:rPr>
        <w:t>1.2投标承诺书（附件四）；</w:t>
      </w:r>
    </w:p>
    <w:p>
      <w:pPr>
        <w:pStyle w:val="15"/>
        <w:spacing w:line="440" w:lineRule="exact"/>
        <w:ind w:firstLine="480" w:firstLineChars="200"/>
        <w:rPr>
          <w:rFonts w:hAnsi="宋体"/>
          <w:szCs w:val="24"/>
        </w:rPr>
      </w:pPr>
      <w:r>
        <w:rPr>
          <w:rFonts w:hint="eastAsia" w:hAnsi="宋体"/>
          <w:szCs w:val="24"/>
        </w:rPr>
        <w:t xml:space="preserve">1.3投标函（附件五）；                            </w:t>
      </w:r>
    </w:p>
    <w:p>
      <w:pPr>
        <w:pStyle w:val="15"/>
        <w:spacing w:line="440" w:lineRule="exact"/>
        <w:ind w:firstLine="480" w:firstLineChars="200"/>
        <w:rPr>
          <w:rFonts w:hAnsi="宋体"/>
        </w:rPr>
      </w:pPr>
      <w:r>
        <w:rPr>
          <w:rFonts w:hint="eastAsia" w:hAnsi="宋体"/>
        </w:rPr>
        <w:t>以上文件组成投标文件。投标人在投标文件中应对招标文件作出实质性响应，该项内容将作为评标重要指标。投标人不按招标文件的要求提供的投标文件和资料将视为没有对招标文件作出实质性响应，可能导致该投标文件被拒绝，其风险应由投标人自行承担。</w:t>
      </w:r>
    </w:p>
    <w:p>
      <w:pPr>
        <w:spacing w:line="440" w:lineRule="exact"/>
        <w:ind w:firstLine="480" w:firstLineChars="200"/>
        <w:rPr>
          <w:rFonts w:ascii="宋体" w:hAnsi="宋体"/>
          <w:b/>
          <w:sz w:val="24"/>
          <w:szCs w:val="24"/>
        </w:rPr>
      </w:pPr>
      <w:r>
        <w:rPr>
          <w:rFonts w:hint="eastAsia" w:ascii="宋体" w:hAnsi="宋体"/>
          <w:b/>
          <w:sz w:val="24"/>
          <w:szCs w:val="24"/>
        </w:rPr>
        <w:t>2. 投标文件格式要求</w:t>
      </w:r>
    </w:p>
    <w:p>
      <w:pPr>
        <w:spacing w:line="440" w:lineRule="exact"/>
        <w:ind w:firstLine="480" w:firstLineChars="200"/>
        <w:rPr>
          <w:rFonts w:ascii="宋体" w:hAnsi="宋体"/>
          <w:sz w:val="24"/>
          <w:szCs w:val="24"/>
        </w:rPr>
      </w:pPr>
      <w:r>
        <w:rPr>
          <w:rFonts w:hint="eastAsia" w:ascii="宋体" w:hAnsi="宋体"/>
          <w:sz w:val="24"/>
          <w:szCs w:val="24"/>
        </w:rPr>
        <w:t>投标人应按照招标文件要求的内容和附件格式，编制投标文件。</w:t>
      </w:r>
    </w:p>
    <w:p>
      <w:pPr>
        <w:spacing w:line="440" w:lineRule="exact"/>
        <w:ind w:firstLine="480" w:firstLineChars="200"/>
        <w:rPr>
          <w:rFonts w:ascii="宋体" w:hAnsi="宋体"/>
          <w:b/>
          <w:sz w:val="24"/>
          <w:szCs w:val="24"/>
        </w:rPr>
      </w:pPr>
      <w:r>
        <w:rPr>
          <w:rFonts w:hint="eastAsia" w:ascii="宋体" w:hAnsi="宋体"/>
          <w:b/>
          <w:sz w:val="24"/>
          <w:szCs w:val="24"/>
        </w:rPr>
        <w:t xml:space="preserve">3. </w:t>
      </w:r>
      <w:r>
        <w:rPr>
          <w:rFonts w:hint="eastAsia" w:ascii="宋体" w:hAnsi="宋体"/>
          <w:b/>
          <w:sz w:val="24"/>
        </w:rPr>
        <w:t>投标文件的份数和签署</w:t>
      </w:r>
    </w:p>
    <w:p>
      <w:pPr>
        <w:spacing w:line="440" w:lineRule="exact"/>
        <w:ind w:firstLine="480" w:firstLineChars="200"/>
        <w:rPr>
          <w:rFonts w:ascii="宋体" w:hAnsi="宋体"/>
          <w:sz w:val="24"/>
          <w:szCs w:val="24"/>
        </w:rPr>
      </w:pPr>
      <w:r>
        <w:rPr>
          <w:rFonts w:hint="eastAsia" w:ascii="宋体" w:hAnsi="宋体"/>
          <w:sz w:val="24"/>
          <w:szCs w:val="24"/>
        </w:rPr>
        <w:t>3.1 投标人按前附表规定的份数，编制投标文件“正本”和“副本”，并在封面上注明“招标项目名称、投标人名称”以及“正本”和“副本”字样。投标文件“正本”和“副本”如有不一致之处，以“正本”为准，若大小写不一致，以大写为准。</w:t>
      </w:r>
    </w:p>
    <w:p>
      <w:pPr>
        <w:spacing w:line="440" w:lineRule="exact"/>
        <w:ind w:firstLine="480" w:firstLineChars="200"/>
        <w:rPr>
          <w:rFonts w:ascii="宋体" w:hAnsi="宋体"/>
          <w:sz w:val="24"/>
          <w:szCs w:val="24"/>
        </w:rPr>
      </w:pPr>
      <w:r>
        <w:rPr>
          <w:rFonts w:hint="eastAsia" w:ascii="宋体" w:hAnsi="宋体"/>
          <w:sz w:val="24"/>
          <w:szCs w:val="24"/>
        </w:rPr>
        <w:t>3.2全套投标文件应无涂改和行间插字，除非是招标人造成的必须修改的错误，但修改处应加盖单位公章和法定代表人或授权委托人签字或盖章。</w:t>
      </w:r>
    </w:p>
    <w:p>
      <w:pPr>
        <w:pStyle w:val="3"/>
      </w:pPr>
      <w:bookmarkStart w:id="5" w:name="_Toc31058"/>
      <w:r>
        <w:rPr>
          <w:rFonts w:hint="eastAsia"/>
        </w:rPr>
        <w:t>四、投标文件的递交</w:t>
      </w:r>
      <w:bookmarkEnd w:id="5"/>
    </w:p>
    <w:p>
      <w:pPr>
        <w:spacing w:line="440" w:lineRule="exact"/>
        <w:ind w:firstLine="480" w:firstLineChars="200"/>
        <w:rPr>
          <w:rFonts w:ascii="宋体" w:hAnsi="宋体"/>
          <w:b/>
          <w:sz w:val="24"/>
          <w:szCs w:val="24"/>
        </w:rPr>
      </w:pPr>
      <w:r>
        <w:rPr>
          <w:rFonts w:hint="eastAsia" w:ascii="宋体" w:hAnsi="宋体"/>
          <w:b/>
          <w:sz w:val="24"/>
          <w:szCs w:val="24"/>
        </w:rPr>
        <w:t>1. 投标文件的密封与标志</w:t>
      </w:r>
    </w:p>
    <w:p>
      <w:pPr>
        <w:spacing w:line="440" w:lineRule="exact"/>
        <w:ind w:firstLine="480" w:firstLineChars="200"/>
        <w:rPr>
          <w:rFonts w:ascii="宋体" w:hAnsi="宋体"/>
          <w:sz w:val="24"/>
          <w:szCs w:val="24"/>
        </w:rPr>
      </w:pPr>
      <w:r>
        <w:rPr>
          <w:rFonts w:hint="eastAsia" w:ascii="宋体" w:hAnsi="宋体"/>
          <w:sz w:val="24"/>
          <w:szCs w:val="24"/>
        </w:rPr>
        <w:t xml:space="preserve">1.1 </w:t>
      </w:r>
      <w:r>
        <w:rPr>
          <w:rFonts w:hint="eastAsia" w:ascii="宋体" w:hAnsi="宋体"/>
          <w:kern w:val="16"/>
          <w:sz w:val="24"/>
        </w:rPr>
        <w:t>投标人应将投标文件的正本和副本合装密封。</w:t>
      </w:r>
    </w:p>
    <w:p>
      <w:pPr>
        <w:spacing w:line="440" w:lineRule="exact"/>
        <w:ind w:firstLine="480" w:firstLineChars="200"/>
        <w:rPr>
          <w:rFonts w:ascii="宋体" w:hAnsi="宋体"/>
          <w:sz w:val="24"/>
          <w:szCs w:val="24"/>
        </w:rPr>
      </w:pPr>
      <w:r>
        <w:rPr>
          <w:rFonts w:hint="eastAsia" w:ascii="宋体" w:hAnsi="宋体"/>
          <w:sz w:val="24"/>
          <w:szCs w:val="24"/>
        </w:rPr>
        <w:t>1.2 包封要明确注明“招标项目名称、投标人名称”字样，同时封口处骑缝加盖单位公章。</w:t>
      </w:r>
    </w:p>
    <w:p>
      <w:pPr>
        <w:pStyle w:val="8"/>
        <w:spacing w:before="0" w:beforeAutospacing="0" w:after="0" w:afterAutospacing="0" w:line="440" w:lineRule="exact"/>
        <w:ind w:firstLine="480" w:firstLineChars="200"/>
        <w:rPr>
          <w:rFonts w:ascii="宋体" w:hAnsi="宋体"/>
        </w:rPr>
      </w:pPr>
      <w:r>
        <w:rPr>
          <w:rFonts w:hint="eastAsia" w:ascii="宋体" w:hAnsi="宋体"/>
        </w:rPr>
        <w:t>1.3 投标文件没有按规定密封的，将被拒绝并原封退回投标人。</w:t>
      </w:r>
    </w:p>
    <w:p>
      <w:pPr>
        <w:spacing w:line="440" w:lineRule="exact"/>
        <w:ind w:firstLine="480" w:firstLineChars="200"/>
        <w:rPr>
          <w:rFonts w:ascii="宋体" w:hAnsi="宋体"/>
          <w:b/>
          <w:sz w:val="24"/>
          <w:szCs w:val="24"/>
        </w:rPr>
      </w:pPr>
      <w:r>
        <w:rPr>
          <w:rFonts w:hint="eastAsia" w:ascii="宋体" w:hAnsi="宋体"/>
          <w:b/>
          <w:sz w:val="24"/>
          <w:szCs w:val="24"/>
        </w:rPr>
        <w:t>2. 投标截止送达及时限</w:t>
      </w:r>
    </w:p>
    <w:p>
      <w:pPr>
        <w:spacing w:line="440" w:lineRule="exact"/>
        <w:ind w:firstLine="480" w:firstLineChars="200"/>
        <w:rPr>
          <w:rFonts w:ascii="宋体" w:hAnsi="宋体"/>
          <w:spacing w:val="-4"/>
          <w:sz w:val="24"/>
          <w:szCs w:val="24"/>
        </w:rPr>
      </w:pPr>
      <w:r>
        <w:rPr>
          <w:rFonts w:hint="eastAsia" w:ascii="宋体" w:hAnsi="宋体"/>
          <w:sz w:val="24"/>
          <w:szCs w:val="24"/>
        </w:rPr>
        <w:t>2.1 投标人</w:t>
      </w:r>
      <w:r>
        <w:rPr>
          <w:rFonts w:hint="eastAsia" w:ascii="宋体" w:hAnsi="宋体"/>
          <w:spacing w:val="-4"/>
          <w:sz w:val="24"/>
          <w:szCs w:val="24"/>
        </w:rPr>
        <w:t>递交投标文件按前附表规定的时限和地点，逾期送达的投标文件作无效投标处理。</w:t>
      </w:r>
    </w:p>
    <w:p>
      <w:pPr>
        <w:spacing w:line="440" w:lineRule="exact"/>
        <w:ind w:firstLine="480" w:firstLineChars="200"/>
        <w:rPr>
          <w:rFonts w:ascii="宋体" w:hAnsi="宋体"/>
          <w:sz w:val="24"/>
          <w:szCs w:val="24"/>
        </w:rPr>
      </w:pPr>
      <w:r>
        <w:rPr>
          <w:rFonts w:hint="eastAsia" w:ascii="宋体" w:hAnsi="宋体"/>
          <w:sz w:val="24"/>
          <w:szCs w:val="24"/>
        </w:rPr>
        <w:t>2.2 投标人在按规定延长递交投标文件的截止日期时，按延长后新的投标截止期确定。</w:t>
      </w:r>
    </w:p>
    <w:p>
      <w:pPr>
        <w:spacing w:line="440" w:lineRule="exact"/>
        <w:ind w:firstLine="480" w:firstLineChars="200"/>
        <w:rPr>
          <w:rFonts w:ascii="宋体" w:hAnsi="宋体"/>
          <w:b/>
          <w:sz w:val="24"/>
          <w:szCs w:val="24"/>
        </w:rPr>
      </w:pPr>
      <w:r>
        <w:rPr>
          <w:rFonts w:hint="eastAsia" w:ascii="宋体" w:hAnsi="宋体"/>
          <w:b/>
          <w:sz w:val="24"/>
          <w:szCs w:val="24"/>
        </w:rPr>
        <w:t>3. 投标文件的修改与撤回</w:t>
      </w:r>
    </w:p>
    <w:p>
      <w:pPr>
        <w:spacing w:line="440" w:lineRule="exact"/>
        <w:ind w:firstLine="480" w:firstLineChars="200"/>
        <w:rPr>
          <w:rFonts w:ascii="宋体" w:hAnsi="宋体"/>
          <w:sz w:val="24"/>
          <w:szCs w:val="24"/>
        </w:rPr>
      </w:pPr>
      <w:r>
        <w:rPr>
          <w:rFonts w:hint="eastAsia" w:ascii="宋体" w:hAnsi="宋体"/>
          <w:sz w:val="24"/>
          <w:szCs w:val="24"/>
        </w:rPr>
        <w:t>3.1 投标人递交投标文件以后，在规定的投标截止时间之前，可以书面形式提出补充修改其投标文件，在投标截止时间以后，不能更改投标文件。</w:t>
      </w:r>
    </w:p>
    <w:p>
      <w:pPr>
        <w:spacing w:line="440" w:lineRule="exact"/>
        <w:ind w:firstLine="480" w:firstLineChars="200"/>
        <w:rPr>
          <w:rFonts w:ascii="宋体" w:hAnsi="宋体"/>
          <w:sz w:val="24"/>
          <w:szCs w:val="24"/>
        </w:rPr>
      </w:pPr>
      <w:r>
        <w:rPr>
          <w:rFonts w:hint="eastAsia" w:ascii="宋体" w:hAnsi="宋体"/>
          <w:sz w:val="24"/>
          <w:szCs w:val="24"/>
        </w:rPr>
        <w:t>3.2 投标人的补充修改，应按规定编制、密封、标志和递交，并在包封上标明“修改”字样。</w:t>
      </w:r>
    </w:p>
    <w:p>
      <w:pPr>
        <w:pStyle w:val="3"/>
      </w:pPr>
      <w:bookmarkStart w:id="6" w:name="_Toc22692"/>
      <w:r>
        <w:rPr>
          <w:rFonts w:hint="eastAsia"/>
        </w:rPr>
        <w:t>五、开标会议</w:t>
      </w:r>
      <w:bookmarkEnd w:id="6"/>
    </w:p>
    <w:p>
      <w:pPr>
        <w:spacing w:line="440" w:lineRule="exact"/>
        <w:ind w:firstLine="480" w:firstLineChars="200"/>
        <w:rPr>
          <w:rFonts w:ascii="宋体" w:hAnsi="宋体"/>
          <w:b/>
          <w:sz w:val="24"/>
          <w:szCs w:val="24"/>
        </w:rPr>
      </w:pPr>
      <w:r>
        <w:rPr>
          <w:rFonts w:hint="eastAsia" w:ascii="宋体" w:hAnsi="宋体"/>
          <w:b/>
          <w:sz w:val="24"/>
          <w:szCs w:val="24"/>
        </w:rPr>
        <w:t>（一）、开标会议程序</w:t>
      </w:r>
    </w:p>
    <w:p>
      <w:pPr>
        <w:spacing w:line="440" w:lineRule="exact"/>
        <w:ind w:firstLine="480" w:firstLineChars="200"/>
        <w:rPr>
          <w:rFonts w:ascii="宋体" w:hAnsi="宋体"/>
          <w:sz w:val="24"/>
          <w:szCs w:val="24"/>
        </w:rPr>
      </w:pPr>
      <w:r>
        <w:rPr>
          <w:rFonts w:hint="eastAsia" w:ascii="宋体" w:hAnsi="宋体"/>
          <w:sz w:val="24"/>
          <w:szCs w:val="24"/>
        </w:rPr>
        <w:t>1、有关单位签到，投标人提交投标文件，对投标人代表身份进行验证。</w:t>
      </w:r>
    </w:p>
    <w:p>
      <w:pPr>
        <w:spacing w:line="440" w:lineRule="exact"/>
        <w:ind w:firstLine="480" w:firstLineChars="200"/>
        <w:rPr>
          <w:rFonts w:ascii="宋体" w:hAnsi="宋体"/>
          <w:sz w:val="24"/>
          <w:szCs w:val="24"/>
        </w:rPr>
      </w:pPr>
      <w:r>
        <w:rPr>
          <w:rFonts w:hint="eastAsia" w:ascii="宋体" w:hAnsi="宋体"/>
          <w:sz w:val="24"/>
          <w:szCs w:val="24"/>
        </w:rPr>
        <w:t>2、招标人宣布开标会议开始，介绍到会单位及人员。</w:t>
      </w:r>
    </w:p>
    <w:p>
      <w:pPr>
        <w:spacing w:line="440" w:lineRule="exact"/>
        <w:ind w:firstLine="480" w:firstLineChars="200"/>
        <w:rPr>
          <w:rFonts w:ascii="宋体" w:hAnsi="宋体"/>
          <w:sz w:val="24"/>
          <w:szCs w:val="24"/>
        </w:rPr>
      </w:pPr>
      <w:r>
        <w:rPr>
          <w:rFonts w:hint="eastAsia" w:ascii="宋体" w:hAnsi="宋体"/>
          <w:sz w:val="24"/>
          <w:szCs w:val="24"/>
        </w:rPr>
        <w:t>3、检查各投标人投标文件的密封情况和送达时效。</w:t>
      </w:r>
    </w:p>
    <w:p>
      <w:pPr>
        <w:spacing w:line="440" w:lineRule="exact"/>
        <w:ind w:firstLine="480" w:firstLineChars="200"/>
        <w:rPr>
          <w:rFonts w:ascii="宋体" w:hAnsi="宋体"/>
          <w:sz w:val="24"/>
          <w:szCs w:val="24"/>
        </w:rPr>
      </w:pPr>
      <w:r>
        <w:rPr>
          <w:rFonts w:hint="eastAsia" w:ascii="宋体" w:hAnsi="宋体"/>
          <w:sz w:val="24"/>
          <w:szCs w:val="24"/>
        </w:rPr>
        <w:t>4、启封投标人的投标文件，对投标文件进行符合性评审。如最终有效投标人少于3家的，则重新组织招标。</w:t>
      </w:r>
    </w:p>
    <w:p>
      <w:pPr>
        <w:spacing w:line="440" w:lineRule="exact"/>
        <w:ind w:firstLine="480" w:firstLineChars="200"/>
        <w:rPr>
          <w:rFonts w:ascii="宋体" w:hAnsi="宋体"/>
          <w:sz w:val="24"/>
          <w:szCs w:val="24"/>
        </w:rPr>
      </w:pPr>
      <w:r>
        <w:rPr>
          <w:rFonts w:hint="eastAsia" w:ascii="宋体" w:hAnsi="宋体"/>
          <w:sz w:val="24"/>
          <w:szCs w:val="24"/>
        </w:rPr>
        <w:t>5、宣布各投标人的报价。</w:t>
      </w:r>
    </w:p>
    <w:p>
      <w:pPr>
        <w:spacing w:line="440" w:lineRule="exact"/>
        <w:ind w:firstLine="480" w:firstLineChars="200"/>
        <w:rPr>
          <w:rFonts w:ascii="宋体" w:hAnsi="宋体"/>
          <w:sz w:val="24"/>
          <w:szCs w:val="24"/>
        </w:rPr>
      </w:pPr>
      <w:r>
        <w:rPr>
          <w:rFonts w:hint="eastAsia" w:ascii="宋体" w:hAnsi="宋体"/>
          <w:sz w:val="24"/>
          <w:szCs w:val="24"/>
        </w:rPr>
        <w:t>6、根据评标办法规定确定中标单位。</w:t>
      </w:r>
    </w:p>
    <w:p>
      <w:pPr>
        <w:spacing w:line="440" w:lineRule="exact"/>
        <w:ind w:firstLine="480" w:firstLineChars="200"/>
        <w:rPr>
          <w:rFonts w:ascii="宋体" w:hAnsi="宋体"/>
          <w:sz w:val="24"/>
          <w:szCs w:val="24"/>
        </w:rPr>
      </w:pPr>
      <w:r>
        <w:rPr>
          <w:rFonts w:hint="eastAsia" w:ascii="宋体" w:hAnsi="宋体"/>
          <w:sz w:val="24"/>
          <w:szCs w:val="24"/>
        </w:rPr>
        <w:t>7、招标人代表对开标会议结果进行签字确认，宣布中标人。</w:t>
      </w:r>
    </w:p>
    <w:p>
      <w:pPr>
        <w:spacing w:line="440" w:lineRule="exact"/>
        <w:ind w:firstLine="480" w:firstLineChars="200"/>
        <w:rPr>
          <w:rFonts w:ascii="宋体" w:hAnsi="宋体"/>
          <w:b/>
          <w:kern w:val="24"/>
          <w:sz w:val="24"/>
          <w:szCs w:val="24"/>
        </w:rPr>
      </w:pPr>
      <w:r>
        <w:rPr>
          <w:rFonts w:hint="eastAsia" w:ascii="宋体" w:hAnsi="宋体"/>
          <w:b/>
          <w:kern w:val="24"/>
          <w:sz w:val="24"/>
          <w:szCs w:val="24"/>
        </w:rPr>
        <w:t>（二）、 开标会议基本要求</w:t>
      </w:r>
    </w:p>
    <w:p>
      <w:pPr>
        <w:spacing w:line="440" w:lineRule="exact"/>
        <w:ind w:firstLine="480" w:firstLineChars="200"/>
        <w:rPr>
          <w:rFonts w:ascii="宋体" w:hAnsi="宋体"/>
          <w:kern w:val="24"/>
          <w:sz w:val="24"/>
          <w:szCs w:val="24"/>
        </w:rPr>
      </w:pPr>
      <w:r>
        <w:rPr>
          <w:rFonts w:hint="eastAsia" w:ascii="宋体" w:hAnsi="宋体"/>
          <w:kern w:val="24"/>
          <w:sz w:val="24"/>
          <w:szCs w:val="24"/>
        </w:rPr>
        <w:t>1.招标人将于前附表规定的时间和地点（或按规定延长的时间和地点）举行招标会议，投标人法定代表人或授权委托代理人随带有效本人身份证、授权委托书递交招标文件。</w:t>
      </w:r>
    </w:p>
    <w:p>
      <w:pPr>
        <w:spacing w:line="440" w:lineRule="exact"/>
        <w:ind w:firstLine="480" w:firstLineChars="200"/>
        <w:rPr>
          <w:rFonts w:ascii="宋体" w:hAnsi="宋体"/>
          <w:bCs/>
          <w:kern w:val="24"/>
          <w:sz w:val="24"/>
          <w:szCs w:val="24"/>
        </w:rPr>
      </w:pPr>
      <w:r>
        <w:rPr>
          <w:rFonts w:hint="eastAsia" w:ascii="宋体" w:hAnsi="宋体"/>
          <w:bCs/>
          <w:kern w:val="24"/>
          <w:sz w:val="24"/>
          <w:szCs w:val="24"/>
        </w:rPr>
        <w:t>投标人应在投标文件递交截止时间前递交投标文件。</w:t>
      </w:r>
    </w:p>
    <w:p>
      <w:pPr>
        <w:spacing w:line="440" w:lineRule="exact"/>
        <w:ind w:firstLine="480" w:firstLineChars="200"/>
        <w:rPr>
          <w:rFonts w:ascii="宋体" w:hAnsi="宋体"/>
          <w:kern w:val="24"/>
          <w:sz w:val="24"/>
          <w:szCs w:val="24"/>
        </w:rPr>
      </w:pPr>
      <w:r>
        <w:rPr>
          <w:rFonts w:hint="eastAsia" w:ascii="宋体" w:hAnsi="宋体"/>
          <w:kern w:val="24"/>
          <w:sz w:val="24"/>
          <w:szCs w:val="24"/>
        </w:rPr>
        <w:t>2、开标会议在</w:t>
      </w:r>
      <w:r>
        <w:rPr>
          <w:rFonts w:hint="eastAsia" w:ascii="宋体" w:hAnsi="宋体"/>
          <w:sz w:val="24"/>
          <w:szCs w:val="24"/>
        </w:rPr>
        <w:t>招标投标办公室</w:t>
      </w:r>
      <w:r>
        <w:rPr>
          <w:rFonts w:hint="eastAsia" w:ascii="宋体" w:hAnsi="宋体"/>
          <w:kern w:val="24"/>
          <w:sz w:val="24"/>
          <w:szCs w:val="24"/>
        </w:rPr>
        <w:t>监督下，由招标人组织并主持。</w:t>
      </w:r>
    </w:p>
    <w:p>
      <w:pPr>
        <w:spacing w:line="440" w:lineRule="exact"/>
        <w:ind w:firstLine="480" w:firstLineChars="200"/>
        <w:rPr>
          <w:rFonts w:ascii="宋体" w:hAnsi="宋体"/>
          <w:kern w:val="24"/>
          <w:sz w:val="24"/>
          <w:szCs w:val="24"/>
        </w:rPr>
      </w:pPr>
      <w:r>
        <w:rPr>
          <w:rFonts w:hint="eastAsia" w:ascii="宋体" w:hAnsi="宋体"/>
          <w:kern w:val="24"/>
          <w:sz w:val="24"/>
          <w:szCs w:val="24"/>
        </w:rPr>
        <w:t>3、参加开标会议的投标人法定代表人或授权委托人应随带本人有效身份证，授权委托人参加的还应随带授权委托书。上述资料不论是否已在投标文件中递交，递交投标文件时均应另行单独随带。否则，其投标文件不予签收。</w:t>
      </w:r>
    </w:p>
    <w:p>
      <w:pPr>
        <w:spacing w:line="440" w:lineRule="exact"/>
        <w:ind w:firstLine="480" w:firstLineChars="200"/>
        <w:rPr>
          <w:rFonts w:ascii="宋体" w:hAnsi="宋体"/>
          <w:kern w:val="24"/>
          <w:sz w:val="24"/>
          <w:szCs w:val="24"/>
        </w:rPr>
      </w:pPr>
      <w:r>
        <w:rPr>
          <w:rFonts w:hint="eastAsia" w:ascii="宋体" w:hAnsi="宋体"/>
          <w:kern w:val="24"/>
          <w:sz w:val="24"/>
          <w:szCs w:val="24"/>
        </w:rPr>
        <w:t>4、投标人开标会议前确定的项目负责人、开标会议时提交的项目负责人资格证和投标文件中所确定的项目负责人三者必须一致，否则作无效投标处理。</w:t>
      </w:r>
    </w:p>
    <w:p>
      <w:pPr>
        <w:spacing w:line="440" w:lineRule="exact"/>
        <w:ind w:firstLine="480" w:firstLineChars="200"/>
        <w:rPr>
          <w:rFonts w:ascii="宋体" w:hAnsi="宋体"/>
          <w:b/>
          <w:sz w:val="24"/>
          <w:szCs w:val="24"/>
        </w:rPr>
      </w:pPr>
      <w:r>
        <w:rPr>
          <w:rFonts w:hint="eastAsia" w:ascii="宋体" w:hAnsi="宋体"/>
          <w:b/>
          <w:sz w:val="24"/>
          <w:szCs w:val="24"/>
        </w:rPr>
        <w:t>（三）、投标行为无效情形</w:t>
      </w:r>
    </w:p>
    <w:p>
      <w:pPr>
        <w:spacing w:line="440" w:lineRule="exact"/>
        <w:ind w:firstLine="480" w:firstLineChars="200"/>
        <w:rPr>
          <w:rFonts w:ascii="宋体" w:hAnsi="宋体"/>
          <w:sz w:val="24"/>
          <w:szCs w:val="24"/>
        </w:rPr>
      </w:pPr>
      <w:r>
        <w:rPr>
          <w:rFonts w:hint="eastAsia" w:ascii="宋体" w:hAnsi="宋体"/>
          <w:sz w:val="24"/>
          <w:szCs w:val="24"/>
        </w:rPr>
        <w:t>投标人有下列情形之一的，其投标行为无效，作</w:t>
      </w:r>
      <w:r>
        <w:rPr>
          <w:rFonts w:hint="eastAsia" w:ascii="宋体" w:hAnsi="宋体"/>
          <w:kern w:val="24"/>
          <w:sz w:val="24"/>
          <w:szCs w:val="24"/>
        </w:rPr>
        <w:t>无效投标处理</w:t>
      </w:r>
      <w:r>
        <w:rPr>
          <w:rFonts w:hint="eastAsia" w:ascii="宋体" w:hAnsi="宋体"/>
          <w:sz w:val="24"/>
          <w:szCs w:val="24"/>
        </w:rPr>
        <w:t>：</w:t>
      </w:r>
    </w:p>
    <w:p>
      <w:pPr>
        <w:spacing w:line="440" w:lineRule="exact"/>
        <w:ind w:firstLine="480" w:firstLineChars="200"/>
        <w:rPr>
          <w:rFonts w:ascii="宋体" w:hAnsi="宋体"/>
          <w:sz w:val="24"/>
          <w:szCs w:val="24"/>
        </w:rPr>
      </w:pPr>
      <w:r>
        <w:rPr>
          <w:rFonts w:hint="eastAsia" w:ascii="宋体" w:hAnsi="宋体"/>
          <w:sz w:val="24"/>
          <w:szCs w:val="24"/>
        </w:rPr>
        <w:t>1、未按规定在开标会议召开时间前向招标人递交投标文件的；</w:t>
      </w:r>
    </w:p>
    <w:p>
      <w:pPr>
        <w:spacing w:line="440" w:lineRule="exact"/>
        <w:ind w:firstLine="480" w:firstLineChars="200"/>
        <w:rPr>
          <w:rFonts w:ascii="宋体" w:hAnsi="宋体"/>
          <w:sz w:val="24"/>
          <w:szCs w:val="24"/>
        </w:rPr>
      </w:pPr>
      <w:r>
        <w:rPr>
          <w:rFonts w:hint="eastAsia" w:ascii="宋体" w:hAnsi="宋体"/>
          <w:sz w:val="24"/>
          <w:szCs w:val="24"/>
        </w:rPr>
        <w:t>2、投标文件未按要求密封的；</w:t>
      </w:r>
    </w:p>
    <w:p>
      <w:pPr>
        <w:spacing w:line="440" w:lineRule="exact"/>
        <w:ind w:firstLine="480" w:firstLineChars="200"/>
        <w:rPr>
          <w:rFonts w:ascii="宋体" w:hAnsi="宋体"/>
          <w:sz w:val="24"/>
          <w:szCs w:val="24"/>
        </w:rPr>
      </w:pPr>
      <w:r>
        <w:rPr>
          <w:rFonts w:hint="eastAsia" w:ascii="宋体" w:hAnsi="宋体"/>
          <w:sz w:val="24"/>
          <w:szCs w:val="24"/>
        </w:rPr>
        <w:t>3、投标人不符合招标文件载明的资格条件要求的；</w:t>
      </w:r>
    </w:p>
    <w:p>
      <w:pPr>
        <w:spacing w:line="440" w:lineRule="exact"/>
        <w:ind w:firstLine="480" w:firstLineChars="200"/>
        <w:rPr>
          <w:rFonts w:ascii="宋体" w:hAnsi="宋体"/>
          <w:sz w:val="24"/>
          <w:szCs w:val="24"/>
        </w:rPr>
      </w:pPr>
      <w:r>
        <w:rPr>
          <w:rFonts w:hint="eastAsia" w:ascii="宋体" w:hAnsi="宋体"/>
          <w:sz w:val="24"/>
          <w:szCs w:val="24"/>
        </w:rPr>
        <w:t>4、投标文件不符合招标文件载明的要求的；</w:t>
      </w:r>
    </w:p>
    <w:p>
      <w:pPr>
        <w:spacing w:line="440" w:lineRule="exact"/>
        <w:ind w:firstLine="480" w:firstLineChars="200"/>
        <w:rPr>
          <w:rFonts w:ascii="宋体" w:hAnsi="宋体"/>
          <w:sz w:val="24"/>
          <w:szCs w:val="24"/>
        </w:rPr>
      </w:pPr>
      <w:r>
        <w:rPr>
          <w:rFonts w:hint="eastAsia" w:ascii="宋体" w:hAnsi="宋体"/>
          <w:sz w:val="24"/>
          <w:szCs w:val="24"/>
        </w:rPr>
        <w:t>5、投标报价与招标文件载明的报价范围不一致的；</w:t>
      </w:r>
    </w:p>
    <w:p>
      <w:pPr>
        <w:spacing w:line="440" w:lineRule="exact"/>
        <w:ind w:firstLine="480" w:firstLineChars="200"/>
        <w:rPr>
          <w:rFonts w:ascii="宋体" w:hAnsi="宋体"/>
          <w:sz w:val="24"/>
          <w:szCs w:val="24"/>
        </w:rPr>
      </w:pPr>
      <w:r>
        <w:rPr>
          <w:rFonts w:hint="eastAsia" w:ascii="宋体" w:hAnsi="宋体"/>
          <w:sz w:val="24"/>
          <w:szCs w:val="24"/>
        </w:rPr>
        <w:t>6、不符合招标文件明确的实质性响应条件的；</w:t>
      </w:r>
    </w:p>
    <w:p>
      <w:pPr>
        <w:spacing w:line="440" w:lineRule="exact"/>
        <w:ind w:firstLine="480" w:firstLineChars="200"/>
        <w:rPr>
          <w:rFonts w:ascii="宋体" w:hAnsi="宋体"/>
          <w:sz w:val="24"/>
          <w:szCs w:val="24"/>
        </w:rPr>
      </w:pPr>
      <w:r>
        <w:rPr>
          <w:rFonts w:hint="eastAsia" w:ascii="宋体" w:hAnsi="宋体"/>
          <w:sz w:val="24"/>
          <w:szCs w:val="24"/>
        </w:rPr>
        <w:t>7、未能出具相关证件或证件无效的；</w:t>
      </w:r>
    </w:p>
    <w:p>
      <w:pPr>
        <w:spacing w:line="440" w:lineRule="exact"/>
        <w:ind w:firstLine="480" w:firstLineChars="200"/>
        <w:rPr>
          <w:rFonts w:ascii="宋体" w:hAnsi="宋体"/>
          <w:sz w:val="24"/>
          <w:szCs w:val="24"/>
        </w:rPr>
      </w:pPr>
      <w:r>
        <w:rPr>
          <w:rFonts w:hint="eastAsia" w:ascii="宋体" w:hAnsi="宋体"/>
          <w:sz w:val="24"/>
          <w:szCs w:val="24"/>
        </w:rPr>
        <w:t>8、投标截止时间以后送达的投标文件；</w:t>
      </w:r>
    </w:p>
    <w:p>
      <w:pPr>
        <w:spacing w:line="440" w:lineRule="exact"/>
        <w:ind w:firstLine="480" w:firstLineChars="200"/>
        <w:rPr>
          <w:rFonts w:ascii="宋体" w:hAnsi="宋体"/>
          <w:b/>
          <w:sz w:val="24"/>
          <w:szCs w:val="24"/>
        </w:rPr>
      </w:pPr>
      <w:r>
        <w:rPr>
          <w:rFonts w:hint="eastAsia" w:ascii="宋体" w:hAnsi="宋体"/>
          <w:b/>
          <w:sz w:val="24"/>
          <w:szCs w:val="24"/>
        </w:rPr>
        <w:t>（四）、投标文件鉴定和公布</w:t>
      </w:r>
    </w:p>
    <w:p>
      <w:pPr>
        <w:spacing w:line="440" w:lineRule="exact"/>
        <w:ind w:firstLine="480" w:firstLineChars="200"/>
        <w:rPr>
          <w:rFonts w:ascii="宋体" w:hAnsi="宋体"/>
          <w:b/>
          <w:sz w:val="24"/>
          <w:szCs w:val="24"/>
        </w:rPr>
      </w:pPr>
      <w:r>
        <w:rPr>
          <w:rFonts w:hint="eastAsia" w:ascii="宋体" w:hAnsi="宋体"/>
          <w:sz w:val="24"/>
          <w:szCs w:val="24"/>
        </w:rPr>
        <w:t>当众宣读核查结果，并宣读有效投标的投标人名称以及投标主要内容。</w:t>
      </w:r>
    </w:p>
    <w:p>
      <w:pPr>
        <w:spacing w:line="440" w:lineRule="exact"/>
        <w:ind w:firstLine="480" w:firstLineChars="200"/>
        <w:rPr>
          <w:rFonts w:ascii="宋体" w:hAnsi="宋体"/>
          <w:b/>
          <w:sz w:val="24"/>
          <w:szCs w:val="24"/>
        </w:rPr>
      </w:pPr>
      <w:r>
        <w:rPr>
          <w:rFonts w:hint="eastAsia" w:ascii="宋体" w:hAnsi="宋体"/>
          <w:b/>
          <w:sz w:val="24"/>
          <w:szCs w:val="24"/>
        </w:rPr>
        <w:t>（五）、唱标</w:t>
      </w:r>
    </w:p>
    <w:p>
      <w:pPr>
        <w:spacing w:line="440" w:lineRule="exact"/>
        <w:ind w:firstLine="480" w:firstLineChars="200"/>
        <w:rPr>
          <w:rFonts w:ascii="宋体" w:hAnsi="宋体"/>
          <w:b/>
          <w:sz w:val="24"/>
          <w:szCs w:val="24"/>
        </w:rPr>
      </w:pPr>
      <w:r>
        <w:rPr>
          <w:rFonts w:hint="eastAsia" w:ascii="宋体" w:hAnsi="宋体"/>
          <w:sz w:val="24"/>
          <w:szCs w:val="24"/>
        </w:rPr>
        <w:t>唱标内容将做好记录，并由招标人代表签字确认。</w:t>
      </w:r>
    </w:p>
    <w:p>
      <w:pPr>
        <w:spacing w:line="440" w:lineRule="exact"/>
        <w:ind w:firstLine="480" w:firstLineChars="200"/>
        <w:rPr>
          <w:rFonts w:ascii="宋体" w:hAnsi="宋体"/>
          <w:b/>
          <w:sz w:val="24"/>
          <w:szCs w:val="24"/>
        </w:rPr>
      </w:pPr>
      <w:r>
        <w:rPr>
          <w:rFonts w:hint="eastAsia" w:ascii="宋体" w:hAnsi="宋体"/>
          <w:b/>
          <w:sz w:val="24"/>
          <w:szCs w:val="24"/>
        </w:rPr>
        <w:t>（六）、开标会议记录</w:t>
      </w:r>
    </w:p>
    <w:p>
      <w:pPr>
        <w:spacing w:line="440" w:lineRule="exact"/>
        <w:ind w:firstLine="480" w:firstLineChars="200"/>
        <w:rPr>
          <w:rFonts w:ascii="宋体" w:hAnsi="宋体"/>
          <w:b/>
          <w:sz w:val="24"/>
          <w:szCs w:val="24"/>
        </w:rPr>
      </w:pPr>
      <w:r>
        <w:rPr>
          <w:rFonts w:hint="eastAsia" w:ascii="宋体" w:hAnsi="宋体"/>
          <w:sz w:val="24"/>
          <w:szCs w:val="24"/>
        </w:rPr>
        <w:t>开标会议全过程由招标人代表或其委托的招标代理机构代表记录，并存档备查。</w:t>
      </w:r>
    </w:p>
    <w:p>
      <w:pPr>
        <w:pStyle w:val="3"/>
      </w:pPr>
      <w:bookmarkStart w:id="7" w:name="_Toc22731"/>
      <w:r>
        <w:rPr>
          <w:rFonts w:hint="eastAsia"/>
        </w:rPr>
        <w:t>六、评 标</w:t>
      </w:r>
      <w:bookmarkEnd w:id="7"/>
    </w:p>
    <w:p>
      <w:pPr>
        <w:spacing w:line="440" w:lineRule="exact"/>
        <w:ind w:firstLine="480" w:firstLineChars="200"/>
        <w:rPr>
          <w:rFonts w:ascii="宋体" w:hAnsi="宋体"/>
          <w:b/>
          <w:sz w:val="24"/>
          <w:szCs w:val="24"/>
        </w:rPr>
      </w:pPr>
      <w:r>
        <w:rPr>
          <w:rFonts w:hint="eastAsia" w:ascii="宋体" w:hAnsi="宋体"/>
          <w:b/>
          <w:sz w:val="24"/>
          <w:szCs w:val="24"/>
        </w:rPr>
        <w:t>1. 评标组织</w:t>
      </w:r>
    </w:p>
    <w:p>
      <w:pPr>
        <w:spacing w:line="440" w:lineRule="exact"/>
        <w:ind w:firstLine="480" w:firstLineChars="200"/>
        <w:rPr>
          <w:rFonts w:ascii="宋体" w:hAnsi="宋体"/>
          <w:sz w:val="24"/>
          <w:szCs w:val="24"/>
        </w:rPr>
      </w:pPr>
      <w:r>
        <w:rPr>
          <w:rFonts w:hint="eastAsia" w:ascii="宋体" w:hAnsi="宋体"/>
          <w:sz w:val="24"/>
          <w:szCs w:val="24"/>
        </w:rPr>
        <w:t>由招标人对投标人的投标文件进行符合性评审。</w:t>
      </w:r>
    </w:p>
    <w:p>
      <w:pPr>
        <w:spacing w:line="440" w:lineRule="exact"/>
        <w:ind w:firstLine="480" w:firstLineChars="200"/>
        <w:rPr>
          <w:rFonts w:ascii="宋体" w:hAnsi="宋体"/>
          <w:b/>
          <w:sz w:val="24"/>
          <w:szCs w:val="24"/>
        </w:rPr>
      </w:pPr>
      <w:r>
        <w:rPr>
          <w:rFonts w:hint="eastAsia" w:ascii="宋体" w:hAnsi="宋体"/>
          <w:b/>
          <w:sz w:val="24"/>
          <w:szCs w:val="24"/>
        </w:rPr>
        <w:t>2. 评标办法</w:t>
      </w:r>
    </w:p>
    <w:p>
      <w:pPr>
        <w:spacing w:line="440" w:lineRule="exact"/>
        <w:ind w:firstLine="480" w:firstLineChars="200"/>
        <w:rPr>
          <w:rFonts w:ascii="宋体" w:hAnsi="宋体"/>
          <w:b/>
          <w:kern w:val="16"/>
          <w:sz w:val="24"/>
        </w:rPr>
      </w:pPr>
      <w:r>
        <w:rPr>
          <w:rFonts w:hint="eastAsia" w:ascii="宋体" w:hAnsi="宋体"/>
          <w:b/>
          <w:kern w:val="16"/>
          <w:sz w:val="24"/>
        </w:rPr>
        <w:t>投标报价最低者为第一中标候选单位，最低投标报价相同时由招标人抽签确定第一中标候选单位。</w:t>
      </w:r>
    </w:p>
    <w:p>
      <w:pPr>
        <w:pStyle w:val="3"/>
      </w:pPr>
      <w:bookmarkStart w:id="8" w:name="_Toc8755"/>
      <w:r>
        <w:rPr>
          <w:rFonts w:hint="eastAsia"/>
        </w:rPr>
        <w:t>七、定 标</w:t>
      </w:r>
      <w:bookmarkEnd w:id="8"/>
    </w:p>
    <w:p>
      <w:pPr>
        <w:spacing w:line="440" w:lineRule="exact"/>
        <w:ind w:firstLine="480" w:firstLineChars="200"/>
        <w:rPr>
          <w:rFonts w:ascii="宋体" w:hAnsi="宋体"/>
          <w:sz w:val="24"/>
          <w:szCs w:val="24"/>
        </w:rPr>
      </w:pPr>
      <w:r>
        <w:rPr>
          <w:rFonts w:hint="eastAsia" w:ascii="宋体" w:hAnsi="宋体"/>
          <w:sz w:val="24"/>
          <w:szCs w:val="24"/>
        </w:rPr>
        <w:t>1. 招标人在开标会议确定中标人应公示，接受社会监督。公示期满，无实质性异议的，招标人应当在3个工作日内发出中标通知书，并按招投标管理的有关规定办法退还投标保证金以及签订合同。</w:t>
      </w:r>
    </w:p>
    <w:p>
      <w:pPr>
        <w:spacing w:line="440" w:lineRule="exact"/>
        <w:ind w:firstLine="480" w:firstLineChars="200"/>
        <w:rPr>
          <w:rFonts w:ascii="宋体" w:hAnsi="宋体"/>
          <w:sz w:val="24"/>
          <w:szCs w:val="24"/>
        </w:rPr>
      </w:pPr>
      <w:r>
        <w:rPr>
          <w:rFonts w:hint="eastAsia" w:ascii="宋体" w:hAnsi="宋体"/>
          <w:sz w:val="24"/>
          <w:szCs w:val="24"/>
        </w:rPr>
        <w:t>2. 中标通知书对招标人和中标人具有法律效力。中标通知书发出后，招标人改变中标结果的，或者中标人放弃中标项目的，应当依法承担法律责任。</w:t>
      </w:r>
    </w:p>
    <w:p>
      <w:pPr>
        <w:spacing w:line="440" w:lineRule="exact"/>
        <w:ind w:firstLine="480" w:firstLineChars="200"/>
        <w:rPr>
          <w:rFonts w:ascii="宋体" w:hAnsi="宋体"/>
          <w:sz w:val="24"/>
          <w:szCs w:val="24"/>
        </w:rPr>
      </w:pPr>
      <w:r>
        <w:rPr>
          <w:rFonts w:hint="eastAsia" w:ascii="宋体" w:hAnsi="宋体"/>
          <w:sz w:val="24"/>
          <w:szCs w:val="24"/>
        </w:rPr>
        <w:t>3. 发生下列情形之一的为中标无效：</w:t>
      </w:r>
    </w:p>
    <w:p>
      <w:pPr>
        <w:spacing w:line="440" w:lineRule="exact"/>
        <w:ind w:firstLine="480" w:firstLineChars="200"/>
        <w:rPr>
          <w:rFonts w:ascii="宋体" w:hAnsi="宋体"/>
          <w:spacing w:val="-4"/>
          <w:sz w:val="24"/>
          <w:szCs w:val="24"/>
        </w:rPr>
      </w:pPr>
      <w:r>
        <w:rPr>
          <w:rFonts w:hint="eastAsia" w:ascii="宋体" w:hAnsi="宋体"/>
          <w:sz w:val="24"/>
          <w:szCs w:val="24"/>
        </w:rPr>
        <w:t xml:space="preserve">3.1 </w:t>
      </w:r>
      <w:r>
        <w:rPr>
          <w:rFonts w:hint="eastAsia" w:ascii="宋体" w:hAnsi="宋体"/>
          <w:spacing w:val="-4"/>
          <w:sz w:val="24"/>
          <w:szCs w:val="24"/>
        </w:rPr>
        <w:t xml:space="preserve">招标代理机构因泄露应当保密的与招标投标活动有关的情况和资料的，或者与招标人、投标人串通损害国家利益、社会公共利益或者他人合法权益，影响中标结果的； </w:t>
      </w:r>
    </w:p>
    <w:p>
      <w:pPr>
        <w:spacing w:line="440" w:lineRule="exact"/>
        <w:ind w:firstLine="480" w:firstLineChars="200"/>
        <w:rPr>
          <w:rFonts w:ascii="宋体" w:hAnsi="宋体"/>
          <w:sz w:val="24"/>
          <w:szCs w:val="24"/>
        </w:rPr>
      </w:pPr>
      <w:r>
        <w:rPr>
          <w:rFonts w:hint="eastAsia" w:ascii="宋体" w:hAnsi="宋体"/>
          <w:sz w:val="24"/>
          <w:szCs w:val="24"/>
        </w:rPr>
        <w:t>3.2 招标人向他人透露已获取招标文件的投标人可能影响公平竞争的有关招标投标的相关情况，影响中标结果的；</w:t>
      </w:r>
    </w:p>
    <w:p>
      <w:pPr>
        <w:spacing w:line="440" w:lineRule="exact"/>
        <w:ind w:firstLine="480" w:firstLineChars="200"/>
        <w:rPr>
          <w:rFonts w:ascii="宋体" w:hAnsi="宋体"/>
          <w:sz w:val="24"/>
          <w:szCs w:val="24"/>
        </w:rPr>
      </w:pPr>
      <w:r>
        <w:rPr>
          <w:rFonts w:hint="eastAsia" w:ascii="宋体" w:hAnsi="宋体"/>
          <w:sz w:val="24"/>
          <w:szCs w:val="24"/>
        </w:rPr>
        <w:t>3.3 投标人以他人名义投标或者以其他方式弄虚作假，骗取中标的；　</w:t>
      </w:r>
    </w:p>
    <w:p>
      <w:pPr>
        <w:spacing w:line="440" w:lineRule="exact"/>
        <w:ind w:firstLine="480" w:firstLineChars="200"/>
        <w:rPr>
          <w:rFonts w:ascii="宋体" w:hAnsi="宋体"/>
          <w:sz w:val="24"/>
          <w:szCs w:val="24"/>
        </w:rPr>
      </w:pPr>
      <w:r>
        <w:rPr>
          <w:rFonts w:hint="eastAsia" w:ascii="宋体" w:hAnsi="宋体"/>
          <w:sz w:val="24"/>
          <w:szCs w:val="24"/>
        </w:rPr>
        <w:t>3.4 中标人或中标人拟派项目负责人经有关部门查实有行贿犯罪记录的；</w:t>
      </w:r>
    </w:p>
    <w:p>
      <w:pPr>
        <w:spacing w:line="440" w:lineRule="exact"/>
        <w:ind w:firstLine="480" w:firstLineChars="200"/>
        <w:rPr>
          <w:rFonts w:ascii="宋体" w:hAnsi="宋体"/>
          <w:sz w:val="24"/>
          <w:szCs w:val="24"/>
        </w:rPr>
      </w:pPr>
      <w:r>
        <w:rPr>
          <w:rFonts w:hint="eastAsia" w:ascii="宋体" w:hAnsi="宋体"/>
          <w:sz w:val="24"/>
          <w:szCs w:val="24"/>
        </w:rPr>
        <w:t>3.5 招标人在开标会议中确定的投标人以外确定中标人的；</w:t>
      </w:r>
    </w:p>
    <w:p>
      <w:pPr>
        <w:spacing w:line="440" w:lineRule="exact"/>
        <w:ind w:firstLine="480" w:firstLineChars="200"/>
        <w:rPr>
          <w:rFonts w:ascii="宋体" w:hAnsi="宋体"/>
          <w:sz w:val="24"/>
          <w:szCs w:val="24"/>
        </w:rPr>
      </w:pPr>
      <w:r>
        <w:rPr>
          <w:rFonts w:hint="eastAsia" w:ascii="宋体" w:hAnsi="宋体"/>
          <w:sz w:val="24"/>
          <w:szCs w:val="24"/>
        </w:rPr>
        <w:t>3.6 在公示期间，根据本招标文件规定，经有关部门查实中标人有投标无效或作无效投标处理的。</w:t>
      </w:r>
    </w:p>
    <w:p>
      <w:pPr>
        <w:spacing w:line="440" w:lineRule="exact"/>
        <w:ind w:firstLine="480" w:firstLineChars="200"/>
        <w:rPr>
          <w:rFonts w:ascii="宋体" w:hAnsi="宋体"/>
          <w:sz w:val="24"/>
          <w:szCs w:val="24"/>
        </w:rPr>
      </w:pPr>
      <w:r>
        <w:rPr>
          <w:rFonts w:hint="eastAsia" w:ascii="宋体" w:hAnsi="宋体"/>
          <w:sz w:val="24"/>
          <w:szCs w:val="24"/>
        </w:rPr>
        <w:t>4.在本次报价中排名第一的中标候选人为中标人，排名第一的中标候选人放弃中标、因不可抗力不能履行合同、未按要求提交履约保证金，招标人可以按照中标候选人排名依次确定其他中标候选人为中标人。</w:t>
      </w:r>
    </w:p>
    <w:p>
      <w:pPr>
        <w:spacing w:line="440" w:lineRule="exact"/>
        <w:ind w:firstLine="480" w:firstLineChars="200"/>
        <w:rPr>
          <w:rFonts w:ascii="宋体" w:hAnsi="宋体"/>
          <w:sz w:val="24"/>
          <w:szCs w:val="24"/>
        </w:rPr>
      </w:pPr>
    </w:p>
    <w:p>
      <w:pPr>
        <w:pStyle w:val="3"/>
      </w:pPr>
      <w:bookmarkStart w:id="9" w:name="_Toc15312"/>
      <w:r>
        <w:rPr>
          <w:rFonts w:hint="eastAsia"/>
        </w:rPr>
        <w:t>八、授予合同</w:t>
      </w:r>
      <w:bookmarkEnd w:id="9"/>
    </w:p>
    <w:p>
      <w:pPr>
        <w:spacing w:line="440" w:lineRule="exact"/>
        <w:ind w:firstLine="480" w:firstLineChars="200"/>
        <w:rPr>
          <w:rFonts w:ascii="宋体" w:hAnsi="宋体"/>
          <w:b/>
          <w:sz w:val="24"/>
          <w:szCs w:val="24"/>
        </w:rPr>
      </w:pPr>
      <w:r>
        <w:rPr>
          <w:rFonts w:hint="eastAsia" w:ascii="宋体" w:hAnsi="宋体"/>
          <w:b/>
          <w:sz w:val="24"/>
          <w:szCs w:val="24"/>
        </w:rPr>
        <w:t>1. 中标通知书</w:t>
      </w:r>
    </w:p>
    <w:p>
      <w:pPr>
        <w:spacing w:line="440" w:lineRule="exact"/>
        <w:ind w:firstLine="480" w:firstLineChars="200"/>
        <w:rPr>
          <w:rFonts w:ascii="宋体" w:hAnsi="宋体"/>
          <w:b/>
          <w:sz w:val="24"/>
          <w:szCs w:val="24"/>
        </w:rPr>
      </w:pPr>
      <w:r>
        <w:rPr>
          <w:rFonts w:hint="eastAsia" w:ascii="宋体" w:hAnsi="宋体"/>
          <w:sz w:val="24"/>
          <w:szCs w:val="24"/>
        </w:rPr>
        <w:t>招标人经招标投标办公室备案后的中标通知书通知中标人，同时将中标结果通知所有未中标的投标人，中标通知书将成为合同的主要附件。</w:t>
      </w:r>
    </w:p>
    <w:p>
      <w:pPr>
        <w:spacing w:line="440" w:lineRule="exact"/>
        <w:ind w:firstLine="480" w:firstLineChars="200"/>
        <w:rPr>
          <w:rFonts w:ascii="宋体" w:hAnsi="宋体"/>
          <w:b/>
          <w:sz w:val="24"/>
          <w:szCs w:val="24"/>
        </w:rPr>
      </w:pPr>
      <w:r>
        <w:rPr>
          <w:rFonts w:hint="eastAsia" w:ascii="宋体" w:hAnsi="宋体"/>
          <w:b/>
          <w:sz w:val="24"/>
          <w:szCs w:val="24"/>
        </w:rPr>
        <w:t>2. 合同签订</w:t>
      </w:r>
    </w:p>
    <w:p>
      <w:pPr>
        <w:spacing w:line="440" w:lineRule="exact"/>
        <w:ind w:firstLine="480" w:firstLineChars="200"/>
        <w:rPr>
          <w:rFonts w:ascii="宋体" w:hAnsi="宋体"/>
          <w:b/>
          <w:sz w:val="24"/>
          <w:szCs w:val="24"/>
        </w:rPr>
      </w:pPr>
      <w:r>
        <w:rPr>
          <w:rFonts w:hint="eastAsia" w:ascii="宋体" w:hAnsi="宋体"/>
          <w:sz w:val="24"/>
          <w:szCs w:val="24"/>
        </w:rPr>
        <w:t>招标人将根据《中华人民共和国合同法》、《建设工程施工合同管理办法》的规定，招标人和中标人在中标通知书发出之日起三日内，按照招标文件和中标人的投标文件签订书面合同。招标人与中标人不得另行签订背离合同实质性内容的其他协议。</w:t>
      </w:r>
    </w:p>
    <w:p>
      <w:pPr>
        <w:spacing w:line="440" w:lineRule="exact"/>
        <w:ind w:firstLine="480" w:firstLineChars="200"/>
        <w:rPr>
          <w:rFonts w:ascii="宋体" w:hAnsi="宋体"/>
          <w:b/>
          <w:sz w:val="24"/>
          <w:szCs w:val="24"/>
        </w:rPr>
      </w:pPr>
      <w:r>
        <w:rPr>
          <w:rFonts w:hint="eastAsia" w:ascii="宋体" w:hAnsi="宋体"/>
          <w:b/>
          <w:sz w:val="24"/>
          <w:szCs w:val="24"/>
        </w:rPr>
        <w:t>3. 合同双方确认</w:t>
      </w:r>
    </w:p>
    <w:p>
      <w:pPr>
        <w:spacing w:line="440" w:lineRule="exact"/>
        <w:ind w:firstLine="480" w:firstLineChars="200"/>
        <w:rPr>
          <w:rFonts w:ascii="宋体" w:hAnsi="宋体"/>
          <w:sz w:val="24"/>
          <w:szCs w:val="24"/>
        </w:rPr>
      </w:pPr>
      <w:r>
        <w:rPr>
          <w:rFonts w:hint="eastAsia" w:ascii="宋体" w:hAnsi="宋体"/>
          <w:sz w:val="24"/>
          <w:szCs w:val="24"/>
        </w:rPr>
        <w:t>本</w:t>
      </w:r>
      <w:r>
        <w:rPr>
          <w:rFonts w:hint="eastAsia" w:ascii="宋体" w:hAnsi="宋体"/>
          <w:spacing w:val="-2"/>
          <w:sz w:val="24"/>
          <w:szCs w:val="24"/>
        </w:rPr>
        <w:t>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w:t>
      </w:r>
      <w:r>
        <w:rPr>
          <w:rFonts w:hint="eastAsia" w:ascii="宋体" w:hAnsi="宋体"/>
          <w:sz w:val="24"/>
          <w:szCs w:val="24"/>
        </w:rPr>
        <w:t>实意思的表示，对合同双方不构成任何合同或法律约束力。</w:t>
      </w:r>
    </w:p>
    <w:p>
      <w:pPr>
        <w:spacing w:line="700" w:lineRule="exact"/>
        <w:rPr>
          <w:rFonts w:ascii="宋体" w:hAnsi="宋体"/>
          <w:b/>
          <w:sz w:val="36"/>
          <w:szCs w:val="36"/>
        </w:rPr>
      </w:pPr>
    </w:p>
    <w:p>
      <w:pPr>
        <w:pStyle w:val="2"/>
      </w:pPr>
      <w:bookmarkStart w:id="10" w:name="_Toc21288"/>
      <w:r>
        <w:rPr>
          <w:rFonts w:hint="eastAsia"/>
        </w:rPr>
        <w:t>第二章  合同主要协议条款</w:t>
      </w:r>
      <w:bookmarkEnd w:id="10"/>
    </w:p>
    <w:p>
      <w:pPr>
        <w:spacing w:line="440" w:lineRule="exact"/>
        <w:ind w:firstLine="480" w:firstLineChars="200"/>
        <w:rPr>
          <w:rFonts w:ascii="宋体" w:hAnsi="宋体"/>
          <w:sz w:val="24"/>
          <w:szCs w:val="24"/>
        </w:rPr>
      </w:pPr>
      <w:r>
        <w:rPr>
          <w:rFonts w:hint="eastAsia" w:ascii="宋体" w:hAnsi="宋体"/>
          <w:sz w:val="24"/>
          <w:szCs w:val="24"/>
        </w:rPr>
        <w:t>合同条件采用建设工程施工合同示范文本（GF－1999－0201）的《合同条件》，合同协议条款将由招标人（甲方）与中标人（乙方）结合本工程具体情况协商后签订。以下为招标人提出涉及投标人的主要条款，投标人在投标文件中进行承诺。</w:t>
      </w:r>
    </w:p>
    <w:p>
      <w:pPr>
        <w:pStyle w:val="3"/>
      </w:pPr>
      <w:bookmarkStart w:id="11" w:name="_Toc20355"/>
      <w:r>
        <w:rPr>
          <w:rFonts w:hint="eastAsia"/>
        </w:rPr>
        <w:t>一、施工组织设计和工期</w:t>
      </w:r>
      <w:bookmarkEnd w:id="11"/>
    </w:p>
    <w:p>
      <w:pPr>
        <w:spacing w:line="440" w:lineRule="exact"/>
        <w:ind w:firstLine="480" w:firstLineChars="200"/>
        <w:rPr>
          <w:rFonts w:ascii="宋体" w:hAnsi="宋体"/>
          <w:b/>
          <w:sz w:val="24"/>
          <w:szCs w:val="24"/>
        </w:rPr>
      </w:pPr>
      <w:r>
        <w:rPr>
          <w:rFonts w:hint="eastAsia" w:ascii="宋体" w:hAnsi="宋体"/>
          <w:b/>
          <w:sz w:val="24"/>
          <w:szCs w:val="24"/>
        </w:rPr>
        <w:t>1. 进度计划</w:t>
      </w:r>
    </w:p>
    <w:p>
      <w:pPr>
        <w:spacing w:line="440" w:lineRule="exact"/>
        <w:ind w:firstLine="480" w:firstLineChars="200"/>
        <w:rPr>
          <w:rFonts w:ascii="宋体" w:hAnsi="宋体"/>
          <w:sz w:val="24"/>
          <w:szCs w:val="24"/>
        </w:rPr>
      </w:pPr>
      <w:r>
        <w:rPr>
          <w:rFonts w:hint="eastAsia" w:ascii="宋体" w:hAnsi="宋体"/>
          <w:sz w:val="24"/>
          <w:szCs w:val="24"/>
        </w:rPr>
        <w:t>乙方投标文件中的施工组织设计（或方案），甲方对其进度计划提出质疑和合理修正时，乙方应在签订合同后</w:t>
      </w:r>
      <w:r>
        <w:rPr>
          <w:rFonts w:hint="eastAsia" w:ascii="宋体" w:hAnsi="宋体"/>
          <w:sz w:val="24"/>
          <w:szCs w:val="24"/>
          <w:u w:val="single"/>
        </w:rPr>
        <w:t xml:space="preserve"> 2 </w:t>
      </w:r>
      <w:r>
        <w:rPr>
          <w:rFonts w:hint="eastAsia" w:ascii="宋体" w:hAnsi="宋体"/>
          <w:sz w:val="24"/>
          <w:szCs w:val="24"/>
        </w:rPr>
        <w:t>日内提供修正的施工组织设计，甲方代表将在</w:t>
      </w:r>
      <w:r>
        <w:rPr>
          <w:rFonts w:hint="eastAsia" w:ascii="宋体" w:hAnsi="宋体"/>
          <w:sz w:val="24"/>
          <w:szCs w:val="24"/>
          <w:u w:val="single"/>
        </w:rPr>
        <w:t xml:space="preserve"> 2 </w:t>
      </w:r>
      <w:r>
        <w:rPr>
          <w:rFonts w:hint="eastAsia" w:ascii="宋体" w:hAnsi="宋体"/>
          <w:sz w:val="24"/>
          <w:szCs w:val="24"/>
        </w:rPr>
        <w:t>日内批复。</w:t>
      </w:r>
    </w:p>
    <w:p>
      <w:pPr>
        <w:spacing w:line="440" w:lineRule="exact"/>
        <w:ind w:firstLine="480" w:firstLineChars="200"/>
        <w:rPr>
          <w:rFonts w:ascii="宋体" w:hAnsi="宋体"/>
          <w:b/>
          <w:sz w:val="24"/>
          <w:szCs w:val="24"/>
        </w:rPr>
      </w:pPr>
      <w:r>
        <w:rPr>
          <w:rFonts w:hint="eastAsia" w:ascii="宋体" w:hAnsi="宋体"/>
          <w:b/>
          <w:sz w:val="24"/>
          <w:szCs w:val="24"/>
        </w:rPr>
        <w:t>2.工程进场</w:t>
      </w:r>
    </w:p>
    <w:p>
      <w:pPr>
        <w:spacing w:line="440" w:lineRule="exact"/>
        <w:ind w:firstLine="480" w:firstLineChars="200"/>
        <w:rPr>
          <w:rFonts w:ascii="宋体" w:hAnsi="宋体"/>
          <w:sz w:val="24"/>
          <w:szCs w:val="24"/>
        </w:rPr>
      </w:pPr>
      <w:r>
        <w:rPr>
          <w:rFonts w:hint="eastAsia" w:ascii="宋体" w:hAnsi="宋体"/>
          <w:sz w:val="24"/>
          <w:szCs w:val="24"/>
        </w:rPr>
        <w:t>乙方应在签订合同后按规定时间内进场。如因乙方原因造成延迟的，甲方有权对于延迟进场的做出罚款</w:t>
      </w:r>
      <w:r>
        <w:rPr>
          <w:rFonts w:hint="eastAsia" w:ascii="宋体" w:hAnsi="宋体"/>
          <w:sz w:val="24"/>
          <w:szCs w:val="24"/>
          <w:u w:val="single"/>
        </w:rPr>
        <w:t>2000元/日</w:t>
      </w:r>
      <w:r>
        <w:rPr>
          <w:rFonts w:hint="eastAsia" w:ascii="宋体" w:hAnsi="宋体"/>
          <w:sz w:val="24"/>
          <w:szCs w:val="24"/>
        </w:rPr>
        <w:t>，如因甲方原因造成延迟的则不予处罚。</w:t>
      </w:r>
    </w:p>
    <w:p>
      <w:pPr>
        <w:spacing w:line="440" w:lineRule="exact"/>
        <w:ind w:firstLine="480" w:firstLineChars="200"/>
        <w:rPr>
          <w:rFonts w:ascii="宋体" w:hAnsi="宋体"/>
          <w:b/>
          <w:sz w:val="24"/>
          <w:szCs w:val="24"/>
        </w:rPr>
      </w:pPr>
      <w:r>
        <w:rPr>
          <w:rFonts w:hint="eastAsia" w:ascii="宋体" w:hAnsi="宋体"/>
          <w:b/>
          <w:sz w:val="24"/>
          <w:szCs w:val="24"/>
        </w:rPr>
        <w:t>3. 工程开工</w:t>
      </w:r>
    </w:p>
    <w:p>
      <w:pPr>
        <w:spacing w:line="440" w:lineRule="exact"/>
        <w:ind w:firstLine="480" w:firstLineChars="200"/>
        <w:rPr>
          <w:rFonts w:ascii="宋体" w:hAnsi="宋体"/>
          <w:b/>
          <w:sz w:val="24"/>
          <w:szCs w:val="24"/>
        </w:rPr>
      </w:pPr>
      <w:r>
        <w:rPr>
          <w:rFonts w:hint="eastAsia" w:ascii="宋体" w:hAnsi="宋体"/>
          <w:sz w:val="24"/>
          <w:szCs w:val="24"/>
        </w:rPr>
        <w:t xml:space="preserve">乙方收到甲方开工通知后，在 </w:t>
      </w:r>
      <w:r>
        <w:rPr>
          <w:rFonts w:hint="eastAsia" w:ascii="宋体" w:hAnsi="宋体"/>
          <w:sz w:val="24"/>
          <w:szCs w:val="24"/>
          <w:u w:val="single"/>
        </w:rPr>
        <w:t>2</w:t>
      </w:r>
      <w:r>
        <w:rPr>
          <w:rFonts w:hint="eastAsia" w:ascii="宋体"/>
          <w:kern w:val="16"/>
          <w:sz w:val="24"/>
          <w:szCs w:val="24"/>
          <w:u w:val="single"/>
        </w:rPr>
        <w:t>天</w:t>
      </w:r>
      <w:r>
        <w:rPr>
          <w:rFonts w:hint="eastAsia" w:ascii="宋体" w:hAnsi="宋体"/>
          <w:sz w:val="24"/>
          <w:szCs w:val="24"/>
          <w:u w:val="single"/>
        </w:rPr>
        <w:t>内</w:t>
      </w:r>
      <w:r>
        <w:rPr>
          <w:rFonts w:hint="eastAsia" w:ascii="宋体" w:hAnsi="宋体"/>
          <w:sz w:val="24"/>
          <w:szCs w:val="24"/>
        </w:rPr>
        <w:t>开工。</w:t>
      </w:r>
    </w:p>
    <w:p>
      <w:pPr>
        <w:spacing w:line="440" w:lineRule="exact"/>
        <w:ind w:firstLine="480" w:firstLineChars="200"/>
        <w:rPr>
          <w:rFonts w:ascii="宋体" w:hAnsi="宋体"/>
          <w:b/>
          <w:sz w:val="24"/>
          <w:szCs w:val="24"/>
        </w:rPr>
      </w:pPr>
      <w:r>
        <w:rPr>
          <w:rFonts w:hint="eastAsia" w:ascii="宋体" w:hAnsi="宋体"/>
          <w:b/>
          <w:sz w:val="24"/>
          <w:szCs w:val="24"/>
        </w:rPr>
        <w:t>4. 工程工期</w:t>
      </w:r>
    </w:p>
    <w:p>
      <w:pPr>
        <w:spacing w:line="440" w:lineRule="exact"/>
        <w:ind w:firstLine="720" w:firstLineChars="300"/>
        <w:rPr>
          <w:rFonts w:ascii="宋体" w:hAnsi="宋体"/>
          <w:sz w:val="24"/>
          <w:szCs w:val="24"/>
        </w:rPr>
      </w:pPr>
      <w:r>
        <w:rPr>
          <w:rFonts w:hint="eastAsia" w:ascii="宋体" w:hAnsi="宋体"/>
          <w:sz w:val="24"/>
          <w:szCs w:val="24"/>
        </w:rPr>
        <w:t>合同工期：</w:t>
      </w:r>
      <w:r>
        <w:rPr>
          <w:rFonts w:hint="eastAsia" w:ascii="宋体"/>
          <w:kern w:val="16"/>
          <w:sz w:val="24"/>
          <w:szCs w:val="24"/>
          <w:lang w:val="en-US" w:eastAsia="zh-CN"/>
        </w:rPr>
        <w:t>2022</w:t>
      </w:r>
      <w:r>
        <w:rPr>
          <w:rFonts w:hint="eastAsia" w:ascii="宋体"/>
          <w:kern w:val="16"/>
          <w:sz w:val="24"/>
          <w:szCs w:val="24"/>
        </w:rPr>
        <w:t>年</w:t>
      </w:r>
      <w:r>
        <w:rPr>
          <w:rFonts w:hint="eastAsia" w:ascii="宋体"/>
          <w:kern w:val="16"/>
          <w:sz w:val="24"/>
          <w:szCs w:val="24"/>
          <w:lang w:val="en-US" w:eastAsia="zh-CN"/>
        </w:rPr>
        <w:t>5</w:t>
      </w:r>
      <w:r>
        <w:rPr>
          <w:rFonts w:hint="eastAsia" w:ascii="宋体"/>
          <w:kern w:val="16"/>
          <w:sz w:val="24"/>
          <w:szCs w:val="24"/>
        </w:rPr>
        <w:t>月</w:t>
      </w:r>
      <w:r>
        <w:rPr>
          <w:rFonts w:hint="eastAsia" w:ascii="宋体"/>
          <w:kern w:val="16"/>
          <w:sz w:val="24"/>
          <w:szCs w:val="24"/>
          <w:lang w:val="en-US" w:eastAsia="zh-CN"/>
        </w:rPr>
        <w:t>1</w:t>
      </w:r>
      <w:r>
        <w:rPr>
          <w:rFonts w:hint="eastAsia" w:ascii="宋体"/>
          <w:kern w:val="16"/>
          <w:sz w:val="24"/>
          <w:szCs w:val="24"/>
        </w:rPr>
        <w:t>日前完工（具体开工时间以开工报告为准)。</w:t>
      </w:r>
    </w:p>
    <w:p>
      <w:pPr>
        <w:spacing w:line="440" w:lineRule="exact"/>
        <w:ind w:firstLine="480" w:firstLineChars="200"/>
        <w:rPr>
          <w:rFonts w:ascii="宋体" w:hAnsi="宋体"/>
          <w:b/>
          <w:sz w:val="24"/>
          <w:szCs w:val="24"/>
        </w:rPr>
      </w:pPr>
      <w:r>
        <w:rPr>
          <w:rFonts w:hint="eastAsia" w:ascii="宋体" w:hAnsi="宋体"/>
          <w:b/>
          <w:sz w:val="24"/>
          <w:szCs w:val="24"/>
        </w:rPr>
        <w:t>5. 工期延误</w:t>
      </w:r>
    </w:p>
    <w:p>
      <w:pPr>
        <w:spacing w:line="440" w:lineRule="exact"/>
        <w:ind w:firstLine="480" w:firstLineChars="200"/>
        <w:rPr>
          <w:rFonts w:ascii="宋体" w:hAnsi="宋体"/>
          <w:b/>
          <w:sz w:val="24"/>
          <w:szCs w:val="24"/>
        </w:rPr>
      </w:pPr>
      <w:r>
        <w:rPr>
          <w:rFonts w:hint="eastAsia" w:ascii="宋体" w:hAnsi="宋体"/>
          <w:sz w:val="24"/>
          <w:szCs w:val="24"/>
        </w:rPr>
        <w:t>对以下原因造成竣工日期推迟的延误，经甲方代表确认后，合同工期相应顺延。</w:t>
      </w:r>
    </w:p>
    <w:p>
      <w:pPr>
        <w:spacing w:line="440" w:lineRule="exact"/>
        <w:ind w:firstLine="480" w:firstLineChars="200"/>
        <w:rPr>
          <w:rFonts w:ascii="宋体" w:hAnsi="宋体"/>
          <w:sz w:val="24"/>
          <w:szCs w:val="24"/>
        </w:rPr>
      </w:pPr>
      <w:r>
        <w:rPr>
          <w:rFonts w:hint="eastAsia" w:ascii="宋体" w:hAnsi="宋体"/>
          <w:sz w:val="24"/>
          <w:szCs w:val="24"/>
        </w:rPr>
        <w:t>5.1 额外或附加的增加工程量超过合同造价</w:t>
      </w:r>
      <w:r>
        <w:rPr>
          <w:rFonts w:hint="eastAsia" w:ascii="宋体" w:hAnsi="宋体"/>
          <w:sz w:val="24"/>
          <w:szCs w:val="24"/>
          <w:u w:val="single"/>
        </w:rPr>
        <w:t xml:space="preserve"> 20 </w:t>
      </w:r>
      <w:r>
        <w:rPr>
          <w:rFonts w:hint="eastAsia" w:ascii="宋体" w:hAnsi="宋体"/>
          <w:sz w:val="24"/>
          <w:szCs w:val="24"/>
        </w:rPr>
        <w:t>％以上。</w:t>
      </w:r>
    </w:p>
    <w:p>
      <w:pPr>
        <w:spacing w:line="440" w:lineRule="exact"/>
        <w:ind w:firstLine="480" w:firstLineChars="200"/>
        <w:rPr>
          <w:rFonts w:ascii="宋体" w:hAnsi="宋体"/>
          <w:sz w:val="24"/>
          <w:szCs w:val="24"/>
        </w:rPr>
      </w:pPr>
      <w:r>
        <w:rPr>
          <w:rFonts w:hint="eastAsia" w:ascii="宋体" w:hAnsi="宋体"/>
          <w:sz w:val="24"/>
          <w:szCs w:val="24"/>
        </w:rPr>
        <w:t>5.2 由甲方造成的延误、障碍阻止。</w:t>
      </w:r>
    </w:p>
    <w:p>
      <w:pPr>
        <w:spacing w:line="440" w:lineRule="exact"/>
        <w:ind w:firstLine="480" w:firstLineChars="200"/>
        <w:rPr>
          <w:rFonts w:ascii="宋体" w:hAnsi="宋体"/>
          <w:sz w:val="24"/>
          <w:szCs w:val="24"/>
        </w:rPr>
      </w:pPr>
      <w:r>
        <w:rPr>
          <w:rFonts w:hint="eastAsia" w:ascii="宋体" w:hAnsi="宋体"/>
          <w:sz w:val="24"/>
          <w:szCs w:val="24"/>
        </w:rPr>
        <w:t>5.3不可抗力。</w:t>
      </w:r>
    </w:p>
    <w:p>
      <w:pPr>
        <w:spacing w:line="440" w:lineRule="exact"/>
        <w:ind w:firstLine="480" w:firstLineChars="200"/>
        <w:rPr>
          <w:rFonts w:ascii="宋体" w:hAnsi="宋体"/>
          <w:sz w:val="24"/>
          <w:szCs w:val="24"/>
        </w:rPr>
      </w:pPr>
      <w:r>
        <w:rPr>
          <w:rFonts w:hint="eastAsia" w:ascii="宋体" w:hAnsi="宋体"/>
          <w:sz w:val="24"/>
          <w:szCs w:val="24"/>
        </w:rPr>
        <w:t>5.4非乙方的过失或造成的。</w:t>
      </w:r>
      <w:bookmarkStart w:id="12" w:name="_Toc1659"/>
    </w:p>
    <w:p>
      <w:pPr>
        <w:pStyle w:val="3"/>
      </w:pPr>
      <w:r>
        <w:rPr>
          <w:rFonts w:hint="eastAsia"/>
        </w:rPr>
        <w:t>二、质量与验收</w:t>
      </w:r>
      <w:bookmarkEnd w:id="12"/>
    </w:p>
    <w:p>
      <w:pPr>
        <w:spacing w:line="440" w:lineRule="exact"/>
        <w:ind w:firstLine="480" w:firstLineChars="200"/>
        <w:rPr>
          <w:rFonts w:ascii="宋体" w:hAnsi="宋体"/>
          <w:b/>
          <w:sz w:val="24"/>
          <w:szCs w:val="24"/>
        </w:rPr>
      </w:pPr>
      <w:r>
        <w:rPr>
          <w:rFonts w:hint="eastAsia" w:ascii="宋体" w:hAnsi="宋体"/>
          <w:b/>
          <w:sz w:val="24"/>
          <w:szCs w:val="24"/>
        </w:rPr>
        <w:t>1. 质量标准</w:t>
      </w:r>
    </w:p>
    <w:p>
      <w:pPr>
        <w:spacing w:line="440" w:lineRule="exact"/>
        <w:ind w:firstLine="480" w:firstLineChars="200"/>
        <w:rPr>
          <w:rFonts w:ascii="宋体" w:hAnsi="宋体"/>
          <w:sz w:val="24"/>
          <w:szCs w:val="24"/>
        </w:rPr>
      </w:pPr>
      <w:r>
        <w:rPr>
          <w:rFonts w:hint="eastAsia" w:ascii="宋体" w:hAnsi="宋体"/>
          <w:sz w:val="24"/>
          <w:szCs w:val="24"/>
        </w:rPr>
        <w:t>1.1甲方对本工程质量的特殊要求：</w:t>
      </w:r>
      <w:r>
        <w:rPr>
          <w:rFonts w:hint="eastAsia" w:ascii="宋体" w:hAnsi="宋体"/>
          <w:sz w:val="24"/>
          <w:szCs w:val="24"/>
          <w:u w:val="single"/>
        </w:rPr>
        <w:t xml:space="preserve"> 合格  </w:t>
      </w:r>
      <w:r>
        <w:rPr>
          <w:rFonts w:hint="eastAsia" w:ascii="宋体" w:hAnsi="宋体"/>
          <w:sz w:val="24"/>
          <w:szCs w:val="24"/>
        </w:rPr>
        <w:t>。</w:t>
      </w:r>
    </w:p>
    <w:p>
      <w:pPr>
        <w:spacing w:line="440" w:lineRule="exact"/>
        <w:ind w:firstLine="480" w:firstLineChars="200"/>
        <w:rPr>
          <w:rFonts w:ascii="宋体" w:hAnsi="宋体"/>
          <w:sz w:val="24"/>
          <w:szCs w:val="24"/>
          <w:u w:val="single"/>
        </w:rPr>
      </w:pPr>
      <w:r>
        <w:rPr>
          <w:rFonts w:hint="eastAsia" w:ascii="宋体" w:hAnsi="宋体"/>
          <w:sz w:val="24"/>
          <w:szCs w:val="24"/>
        </w:rPr>
        <w:t>1.2双方当事人约定的施工材料：</w:t>
      </w:r>
      <w:r>
        <w:rPr>
          <w:rFonts w:hint="eastAsia" w:ascii="宋体" w:hAnsi="宋体"/>
          <w:sz w:val="24"/>
          <w:szCs w:val="24"/>
          <w:u w:val="single"/>
        </w:rPr>
        <w:t>/</w:t>
      </w:r>
    </w:p>
    <w:p>
      <w:pPr>
        <w:spacing w:line="440" w:lineRule="exact"/>
        <w:ind w:firstLine="480" w:firstLineChars="200"/>
        <w:rPr>
          <w:rFonts w:ascii="宋体" w:hAnsi="宋体"/>
          <w:b/>
          <w:sz w:val="24"/>
          <w:szCs w:val="24"/>
        </w:rPr>
      </w:pPr>
      <w:r>
        <w:rPr>
          <w:rFonts w:hint="eastAsia" w:ascii="宋体" w:hAnsi="宋体"/>
          <w:b/>
          <w:sz w:val="24"/>
          <w:szCs w:val="24"/>
        </w:rPr>
        <w:t>2. 工程质量等级</w:t>
      </w:r>
    </w:p>
    <w:p>
      <w:pPr>
        <w:spacing w:line="440" w:lineRule="exact"/>
        <w:ind w:firstLine="480" w:firstLineChars="200"/>
        <w:rPr>
          <w:rFonts w:ascii="宋体" w:hAnsi="宋体"/>
          <w:sz w:val="24"/>
          <w:szCs w:val="24"/>
        </w:rPr>
      </w:pPr>
      <w:r>
        <w:rPr>
          <w:rFonts w:hint="eastAsia" w:ascii="宋体" w:hAnsi="宋体"/>
          <w:sz w:val="24"/>
          <w:szCs w:val="24"/>
        </w:rPr>
        <w:t>乙方中标的质量等级标准为本工程的合同约定条件。</w:t>
      </w:r>
    </w:p>
    <w:p>
      <w:pPr>
        <w:spacing w:line="440" w:lineRule="exact"/>
        <w:ind w:firstLine="480" w:firstLineChars="200"/>
        <w:rPr>
          <w:rFonts w:ascii="宋体" w:hAnsi="宋体"/>
          <w:sz w:val="24"/>
          <w:szCs w:val="24"/>
        </w:rPr>
      </w:pPr>
      <w:r>
        <w:rPr>
          <w:rFonts w:hint="eastAsia" w:ascii="宋体" w:hAnsi="宋体"/>
          <w:sz w:val="24"/>
          <w:szCs w:val="24"/>
        </w:rPr>
        <w:t>2.1 工程竣工后经质监单位或个人核验，不能达到要求质量等级的，作违约论处。</w:t>
      </w:r>
    </w:p>
    <w:p>
      <w:pPr>
        <w:spacing w:line="440" w:lineRule="exact"/>
        <w:ind w:firstLine="480" w:firstLineChars="200"/>
        <w:rPr>
          <w:rFonts w:ascii="宋体" w:hAnsi="宋体"/>
          <w:b/>
          <w:sz w:val="24"/>
          <w:szCs w:val="24"/>
          <w:u w:val="single"/>
        </w:rPr>
      </w:pPr>
      <w:r>
        <w:rPr>
          <w:rFonts w:hint="eastAsia" w:ascii="宋体" w:hAnsi="宋体"/>
          <w:sz w:val="24"/>
          <w:szCs w:val="24"/>
        </w:rPr>
        <w:t>2.2 要求合格等级未达到的，承担违约责任，并无条件返工直至工程达到要求质量目标，承担返工所发生的一切费用和发包人的直接经济损失。</w:t>
      </w:r>
    </w:p>
    <w:p>
      <w:pPr>
        <w:spacing w:line="440" w:lineRule="exact"/>
        <w:ind w:firstLine="470" w:firstLineChars="196"/>
        <w:rPr>
          <w:rFonts w:ascii="宋体" w:hAnsi="宋体"/>
          <w:sz w:val="24"/>
          <w:szCs w:val="24"/>
        </w:rPr>
      </w:pPr>
    </w:p>
    <w:sectPr>
      <w:type w:val="continuous"/>
      <w:pgSz w:w="11907" w:h="16840"/>
      <w:pgMar w:top="1440" w:right="1800" w:bottom="1440" w:left="1800" w:header="429" w:footer="992"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epDMnLAQAAl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3qQzJywEAAJcDAAAOAAAAAAAAAAEAIAAAACIBAABkcnMv&#10;ZTJvRG9jLnhtbFBLBQYAAAAABgAGAFkBAABfBQAAAAA=&#10;">
              <v:fill on="f" focussize="0,0"/>
              <v:stroke on="f" weight="1.2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X2ibLAQAAl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Wl9omywEAAJcDAAAOAAAAAAAAAAEAIAAAACIBAABkcnMv&#10;ZTJvRG9jLnhtbFBLBQYAAAAABgAGAFkBAABfBQAAAAA=&#10;">
              <v:fill on="f" focussize="0,0"/>
              <v:stroke on="f" weight="1.2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8D5D73"/>
    <w:multiLevelType w:val="multilevel"/>
    <w:tmpl w:val="498D5D73"/>
    <w:lvl w:ilvl="0" w:tentative="0">
      <w:start w:val="1"/>
      <w:numFmt w:val="chineseCountingThousand"/>
      <w:pStyle w:val="4"/>
      <w:suff w:val="space"/>
      <w:lvlText w:val="第%1条 "/>
      <w:lvlJc w:val="left"/>
      <w:pPr>
        <w:ind w:left="2220" w:hanging="420"/>
      </w:pPr>
      <w:rPr>
        <w:rFonts w:hint="eastAsia" w:eastAsia="黑体"/>
        <w:sz w:val="24"/>
        <w:szCs w:val="24"/>
      </w:rPr>
    </w:lvl>
    <w:lvl w:ilvl="1" w:tentative="0">
      <w:start w:val="1"/>
      <w:numFmt w:val="decimal"/>
      <w:lvlText w:val="%2、"/>
      <w:lvlJc w:val="left"/>
      <w:pPr>
        <w:tabs>
          <w:tab w:val="left" w:pos="780"/>
        </w:tabs>
        <w:ind w:left="780" w:hanging="360"/>
      </w:pPr>
      <w:rPr>
        <w:rFonts w:hint="default" w:ascii="Times New Roman" w:hAnsi="Times New Roman"/>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9"/>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230"/>
    <w:rsid w:val="00000928"/>
    <w:rsid w:val="00001A48"/>
    <w:rsid w:val="0000224D"/>
    <w:rsid w:val="0000227A"/>
    <w:rsid w:val="000028D3"/>
    <w:rsid w:val="000036CD"/>
    <w:rsid w:val="000070A0"/>
    <w:rsid w:val="000079C3"/>
    <w:rsid w:val="00007DDF"/>
    <w:rsid w:val="00012AE7"/>
    <w:rsid w:val="00013639"/>
    <w:rsid w:val="0001415F"/>
    <w:rsid w:val="00015708"/>
    <w:rsid w:val="0002097D"/>
    <w:rsid w:val="00020C21"/>
    <w:rsid w:val="00021378"/>
    <w:rsid w:val="00021803"/>
    <w:rsid w:val="00021C8B"/>
    <w:rsid w:val="0002231A"/>
    <w:rsid w:val="00022A3E"/>
    <w:rsid w:val="000251B5"/>
    <w:rsid w:val="000252BB"/>
    <w:rsid w:val="00025524"/>
    <w:rsid w:val="00026B27"/>
    <w:rsid w:val="00027781"/>
    <w:rsid w:val="0003004D"/>
    <w:rsid w:val="00030F60"/>
    <w:rsid w:val="000310ED"/>
    <w:rsid w:val="00031B3F"/>
    <w:rsid w:val="00031F3B"/>
    <w:rsid w:val="000322C1"/>
    <w:rsid w:val="0003295B"/>
    <w:rsid w:val="000333D5"/>
    <w:rsid w:val="000341C2"/>
    <w:rsid w:val="000342CB"/>
    <w:rsid w:val="00034357"/>
    <w:rsid w:val="000357B9"/>
    <w:rsid w:val="00035FE0"/>
    <w:rsid w:val="0003691B"/>
    <w:rsid w:val="00036FAB"/>
    <w:rsid w:val="000372A7"/>
    <w:rsid w:val="00037314"/>
    <w:rsid w:val="0003799E"/>
    <w:rsid w:val="00037EFF"/>
    <w:rsid w:val="00041178"/>
    <w:rsid w:val="000416E5"/>
    <w:rsid w:val="000423FD"/>
    <w:rsid w:val="000428A6"/>
    <w:rsid w:val="00043183"/>
    <w:rsid w:val="000446E7"/>
    <w:rsid w:val="00045949"/>
    <w:rsid w:val="00045B31"/>
    <w:rsid w:val="000466A1"/>
    <w:rsid w:val="0004786F"/>
    <w:rsid w:val="000502B7"/>
    <w:rsid w:val="00051E72"/>
    <w:rsid w:val="00052C77"/>
    <w:rsid w:val="0005359A"/>
    <w:rsid w:val="0005369F"/>
    <w:rsid w:val="000537D1"/>
    <w:rsid w:val="00053AB0"/>
    <w:rsid w:val="00054B16"/>
    <w:rsid w:val="000558F6"/>
    <w:rsid w:val="000572C3"/>
    <w:rsid w:val="00060A92"/>
    <w:rsid w:val="00060C30"/>
    <w:rsid w:val="00063F8F"/>
    <w:rsid w:val="000641AE"/>
    <w:rsid w:val="00064996"/>
    <w:rsid w:val="000649DC"/>
    <w:rsid w:val="00064C20"/>
    <w:rsid w:val="00065744"/>
    <w:rsid w:val="00065A62"/>
    <w:rsid w:val="00066083"/>
    <w:rsid w:val="0006766E"/>
    <w:rsid w:val="000715FC"/>
    <w:rsid w:val="0007213F"/>
    <w:rsid w:val="0007291F"/>
    <w:rsid w:val="00072EAD"/>
    <w:rsid w:val="00073799"/>
    <w:rsid w:val="000737AE"/>
    <w:rsid w:val="00073DE9"/>
    <w:rsid w:val="000746BE"/>
    <w:rsid w:val="00074EDF"/>
    <w:rsid w:val="000751E6"/>
    <w:rsid w:val="00075D59"/>
    <w:rsid w:val="00076D8D"/>
    <w:rsid w:val="00080617"/>
    <w:rsid w:val="000812D2"/>
    <w:rsid w:val="00084002"/>
    <w:rsid w:val="000840F9"/>
    <w:rsid w:val="00086B4C"/>
    <w:rsid w:val="00086ED9"/>
    <w:rsid w:val="00091555"/>
    <w:rsid w:val="00091799"/>
    <w:rsid w:val="000936AF"/>
    <w:rsid w:val="0009470F"/>
    <w:rsid w:val="0009480A"/>
    <w:rsid w:val="000955DC"/>
    <w:rsid w:val="00096533"/>
    <w:rsid w:val="00097EEC"/>
    <w:rsid w:val="000A16AC"/>
    <w:rsid w:val="000A17CF"/>
    <w:rsid w:val="000A1ABE"/>
    <w:rsid w:val="000A255C"/>
    <w:rsid w:val="000A3BA9"/>
    <w:rsid w:val="000A4767"/>
    <w:rsid w:val="000A48F0"/>
    <w:rsid w:val="000A494F"/>
    <w:rsid w:val="000A5768"/>
    <w:rsid w:val="000A62DB"/>
    <w:rsid w:val="000A699C"/>
    <w:rsid w:val="000B030F"/>
    <w:rsid w:val="000B26FD"/>
    <w:rsid w:val="000B3223"/>
    <w:rsid w:val="000B3C17"/>
    <w:rsid w:val="000B422C"/>
    <w:rsid w:val="000B4521"/>
    <w:rsid w:val="000B5210"/>
    <w:rsid w:val="000B6A51"/>
    <w:rsid w:val="000B6EBE"/>
    <w:rsid w:val="000B76FD"/>
    <w:rsid w:val="000C1069"/>
    <w:rsid w:val="000C1DED"/>
    <w:rsid w:val="000C40B1"/>
    <w:rsid w:val="000C4C94"/>
    <w:rsid w:val="000C5B18"/>
    <w:rsid w:val="000C659E"/>
    <w:rsid w:val="000D0C7D"/>
    <w:rsid w:val="000D0EFE"/>
    <w:rsid w:val="000D146F"/>
    <w:rsid w:val="000D309D"/>
    <w:rsid w:val="000D49B9"/>
    <w:rsid w:val="000D49DC"/>
    <w:rsid w:val="000D4FCC"/>
    <w:rsid w:val="000D551E"/>
    <w:rsid w:val="000D5CAB"/>
    <w:rsid w:val="000D6B18"/>
    <w:rsid w:val="000E0609"/>
    <w:rsid w:val="000E0C89"/>
    <w:rsid w:val="000E28BE"/>
    <w:rsid w:val="000E41D0"/>
    <w:rsid w:val="000E552C"/>
    <w:rsid w:val="000E5531"/>
    <w:rsid w:val="000E5794"/>
    <w:rsid w:val="000E6CFD"/>
    <w:rsid w:val="000F129C"/>
    <w:rsid w:val="000F17C6"/>
    <w:rsid w:val="000F3E92"/>
    <w:rsid w:val="000F403F"/>
    <w:rsid w:val="000F48D2"/>
    <w:rsid w:val="000F4F85"/>
    <w:rsid w:val="000F5B64"/>
    <w:rsid w:val="000F7115"/>
    <w:rsid w:val="000F7ED5"/>
    <w:rsid w:val="001001E6"/>
    <w:rsid w:val="00101F14"/>
    <w:rsid w:val="0010290D"/>
    <w:rsid w:val="00102E33"/>
    <w:rsid w:val="001033C9"/>
    <w:rsid w:val="00103EAC"/>
    <w:rsid w:val="00104069"/>
    <w:rsid w:val="00104BFD"/>
    <w:rsid w:val="00105B48"/>
    <w:rsid w:val="00106934"/>
    <w:rsid w:val="00107148"/>
    <w:rsid w:val="00107155"/>
    <w:rsid w:val="00107490"/>
    <w:rsid w:val="001103EF"/>
    <w:rsid w:val="0011145D"/>
    <w:rsid w:val="00111F75"/>
    <w:rsid w:val="001128EF"/>
    <w:rsid w:val="00113C3E"/>
    <w:rsid w:val="0011433D"/>
    <w:rsid w:val="00114520"/>
    <w:rsid w:val="00114940"/>
    <w:rsid w:val="001164AD"/>
    <w:rsid w:val="0012005D"/>
    <w:rsid w:val="001242F9"/>
    <w:rsid w:val="00126D39"/>
    <w:rsid w:val="00127099"/>
    <w:rsid w:val="00127F59"/>
    <w:rsid w:val="0013127E"/>
    <w:rsid w:val="001315E8"/>
    <w:rsid w:val="00131B34"/>
    <w:rsid w:val="001322E5"/>
    <w:rsid w:val="001329AA"/>
    <w:rsid w:val="00132DCF"/>
    <w:rsid w:val="001333BA"/>
    <w:rsid w:val="00133BC2"/>
    <w:rsid w:val="00134AF4"/>
    <w:rsid w:val="00136828"/>
    <w:rsid w:val="00136AC6"/>
    <w:rsid w:val="00136ECB"/>
    <w:rsid w:val="00140E0E"/>
    <w:rsid w:val="00142214"/>
    <w:rsid w:val="001431A1"/>
    <w:rsid w:val="00143F37"/>
    <w:rsid w:val="00144B21"/>
    <w:rsid w:val="0014554A"/>
    <w:rsid w:val="00146330"/>
    <w:rsid w:val="0014692C"/>
    <w:rsid w:val="00147108"/>
    <w:rsid w:val="00150291"/>
    <w:rsid w:val="001504B3"/>
    <w:rsid w:val="00150B90"/>
    <w:rsid w:val="00151304"/>
    <w:rsid w:val="00151B98"/>
    <w:rsid w:val="001521FF"/>
    <w:rsid w:val="00152DDE"/>
    <w:rsid w:val="00155D6A"/>
    <w:rsid w:val="00156338"/>
    <w:rsid w:val="00157F77"/>
    <w:rsid w:val="00160C29"/>
    <w:rsid w:val="00161962"/>
    <w:rsid w:val="001629F5"/>
    <w:rsid w:val="00162E11"/>
    <w:rsid w:val="00164B36"/>
    <w:rsid w:val="001658B4"/>
    <w:rsid w:val="00172154"/>
    <w:rsid w:val="001724CE"/>
    <w:rsid w:val="00174793"/>
    <w:rsid w:val="00174EF8"/>
    <w:rsid w:val="00174F16"/>
    <w:rsid w:val="0017535C"/>
    <w:rsid w:val="0017570D"/>
    <w:rsid w:val="00175E15"/>
    <w:rsid w:val="00177F06"/>
    <w:rsid w:val="00180B13"/>
    <w:rsid w:val="00180DEB"/>
    <w:rsid w:val="001835BD"/>
    <w:rsid w:val="0018407C"/>
    <w:rsid w:val="00184B13"/>
    <w:rsid w:val="00187852"/>
    <w:rsid w:val="001878C9"/>
    <w:rsid w:val="00187947"/>
    <w:rsid w:val="00191D5E"/>
    <w:rsid w:val="00191D7F"/>
    <w:rsid w:val="00191FFD"/>
    <w:rsid w:val="00193F8D"/>
    <w:rsid w:val="00194414"/>
    <w:rsid w:val="00197A9B"/>
    <w:rsid w:val="001A0555"/>
    <w:rsid w:val="001A1B51"/>
    <w:rsid w:val="001A3080"/>
    <w:rsid w:val="001A3CBD"/>
    <w:rsid w:val="001A419D"/>
    <w:rsid w:val="001A430A"/>
    <w:rsid w:val="001A55E8"/>
    <w:rsid w:val="001A60A2"/>
    <w:rsid w:val="001B0392"/>
    <w:rsid w:val="001B041E"/>
    <w:rsid w:val="001B0B00"/>
    <w:rsid w:val="001B137C"/>
    <w:rsid w:val="001B1666"/>
    <w:rsid w:val="001B212B"/>
    <w:rsid w:val="001B3106"/>
    <w:rsid w:val="001B361E"/>
    <w:rsid w:val="001B665E"/>
    <w:rsid w:val="001B76B6"/>
    <w:rsid w:val="001B79D6"/>
    <w:rsid w:val="001C03F4"/>
    <w:rsid w:val="001C1406"/>
    <w:rsid w:val="001C2077"/>
    <w:rsid w:val="001C2635"/>
    <w:rsid w:val="001C2D16"/>
    <w:rsid w:val="001C35BF"/>
    <w:rsid w:val="001C35C5"/>
    <w:rsid w:val="001C38A7"/>
    <w:rsid w:val="001C59FE"/>
    <w:rsid w:val="001C5C20"/>
    <w:rsid w:val="001C6A30"/>
    <w:rsid w:val="001D0645"/>
    <w:rsid w:val="001D1757"/>
    <w:rsid w:val="001D2646"/>
    <w:rsid w:val="001D2AB7"/>
    <w:rsid w:val="001D2DE9"/>
    <w:rsid w:val="001D3708"/>
    <w:rsid w:val="001D3AA8"/>
    <w:rsid w:val="001D6094"/>
    <w:rsid w:val="001D6ED7"/>
    <w:rsid w:val="001D7499"/>
    <w:rsid w:val="001D7E26"/>
    <w:rsid w:val="001E0474"/>
    <w:rsid w:val="001E0CF5"/>
    <w:rsid w:val="001E1856"/>
    <w:rsid w:val="001E1E4A"/>
    <w:rsid w:val="001E2476"/>
    <w:rsid w:val="001E3D9D"/>
    <w:rsid w:val="001E3F8A"/>
    <w:rsid w:val="001E424C"/>
    <w:rsid w:val="001E4378"/>
    <w:rsid w:val="001E6098"/>
    <w:rsid w:val="001E6493"/>
    <w:rsid w:val="001E753A"/>
    <w:rsid w:val="001E7CE1"/>
    <w:rsid w:val="001E7D5A"/>
    <w:rsid w:val="001F0CEC"/>
    <w:rsid w:val="001F2152"/>
    <w:rsid w:val="001F52A4"/>
    <w:rsid w:val="001F5D3A"/>
    <w:rsid w:val="001F7A9B"/>
    <w:rsid w:val="00200182"/>
    <w:rsid w:val="0020031F"/>
    <w:rsid w:val="00200924"/>
    <w:rsid w:val="002015ED"/>
    <w:rsid w:val="00201623"/>
    <w:rsid w:val="00202382"/>
    <w:rsid w:val="00203523"/>
    <w:rsid w:val="00203CAB"/>
    <w:rsid w:val="00203EE3"/>
    <w:rsid w:val="00203F7D"/>
    <w:rsid w:val="00205136"/>
    <w:rsid w:val="002062E3"/>
    <w:rsid w:val="00206AAC"/>
    <w:rsid w:val="00206B16"/>
    <w:rsid w:val="00207088"/>
    <w:rsid w:val="00207A48"/>
    <w:rsid w:val="00207FB1"/>
    <w:rsid w:val="002102FE"/>
    <w:rsid w:val="00210F8A"/>
    <w:rsid w:val="002135F8"/>
    <w:rsid w:val="00216102"/>
    <w:rsid w:val="00216364"/>
    <w:rsid w:val="002167B9"/>
    <w:rsid w:val="00216FEA"/>
    <w:rsid w:val="002205B1"/>
    <w:rsid w:val="0022098B"/>
    <w:rsid w:val="00220D9F"/>
    <w:rsid w:val="0022216A"/>
    <w:rsid w:val="00222F47"/>
    <w:rsid w:val="002231F4"/>
    <w:rsid w:val="002232C7"/>
    <w:rsid w:val="002234FD"/>
    <w:rsid w:val="00223862"/>
    <w:rsid w:val="00223A4F"/>
    <w:rsid w:val="00225159"/>
    <w:rsid w:val="00225D69"/>
    <w:rsid w:val="00225DFE"/>
    <w:rsid w:val="0022700D"/>
    <w:rsid w:val="00227073"/>
    <w:rsid w:val="002275BE"/>
    <w:rsid w:val="00227A7D"/>
    <w:rsid w:val="00227AEE"/>
    <w:rsid w:val="00231783"/>
    <w:rsid w:val="00231C78"/>
    <w:rsid w:val="00232A3D"/>
    <w:rsid w:val="00234592"/>
    <w:rsid w:val="00234E6C"/>
    <w:rsid w:val="00235300"/>
    <w:rsid w:val="002355EE"/>
    <w:rsid w:val="00235E9B"/>
    <w:rsid w:val="0023647B"/>
    <w:rsid w:val="00237B6A"/>
    <w:rsid w:val="00237FE5"/>
    <w:rsid w:val="00240E1A"/>
    <w:rsid w:val="0024347D"/>
    <w:rsid w:val="00244AF7"/>
    <w:rsid w:val="002453BC"/>
    <w:rsid w:val="0024559F"/>
    <w:rsid w:val="00245CD3"/>
    <w:rsid w:val="00246C40"/>
    <w:rsid w:val="00247A3C"/>
    <w:rsid w:val="002502A5"/>
    <w:rsid w:val="0025038F"/>
    <w:rsid w:val="002512E0"/>
    <w:rsid w:val="002514B4"/>
    <w:rsid w:val="00252C18"/>
    <w:rsid w:val="00252FD9"/>
    <w:rsid w:val="00252FDF"/>
    <w:rsid w:val="002530A7"/>
    <w:rsid w:val="00253F7E"/>
    <w:rsid w:val="0025596C"/>
    <w:rsid w:val="00255F7F"/>
    <w:rsid w:val="00256F47"/>
    <w:rsid w:val="00257BD5"/>
    <w:rsid w:val="00257ECD"/>
    <w:rsid w:val="00260AF5"/>
    <w:rsid w:val="0026209E"/>
    <w:rsid w:val="0026318A"/>
    <w:rsid w:val="00263366"/>
    <w:rsid w:val="00263A04"/>
    <w:rsid w:val="00265F2D"/>
    <w:rsid w:val="0026640C"/>
    <w:rsid w:val="00266DEF"/>
    <w:rsid w:val="00266E91"/>
    <w:rsid w:val="00270DE4"/>
    <w:rsid w:val="0027101B"/>
    <w:rsid w:val="00272022"/>
    <w:rsid w:val="0027283C"/>
    <w:rsid w:val="00272E69"/>
    <w:rsid w:val="00272FB0"/>
    <w:rsid w:val="0027418C"/>
    <w:rsid w:val="0027458D"/>
    <w:rsid w:val="00274C97"/>
    <w:rsid w:val="002764CF"/>
    <w:rsid w:val="00276DA4"/>
    <w:rsid w:val="00280ABD"/>
    <w:rsid w:val="00280D4A"/>
    <w:rsid w:val="00280E77"/>
    <w:rsid w:val="00280F55"/>
    <w:rsid w:val="0028103C"/>
    <w:rsid w:val="0028208E"/>
    <w:rsid w:val="00282169"/>
    <w:rsid w:val="00283C5F"/>
    <w:rsid w:val="0028447A"/>
    <w:rsid w:val="00284E40"/>
    <w:rsid w:val="00285338"/>
    <w:rsid w:val="002860A5"/>
    <w:rsid w:val="0028754D"/>
    <w:rsid w:val="0028795C"/>
    <w:rsid w:val="00290127"/>
    <w:rsid w:val="00290735"/>
    <w:rsid w:val="00290ABC"/>
    <w:rsid w:val="00292039"/>
    <w:rsid w:val="0029387C"/>
    <w:rsid w:val="0029425A"/>
    <w:rsid w:val="00295F44"/>
    <w:rsid w:val="0029656F"/>
    <w:rsid w:val="00297664"/>
    <w:rsid w:val="0029776C"/>
    <w:rsid w:val="00297843"/>
    <w:rsid w:val="002A3923"/>
    <w:rsid w:val="002A5634"/>
    <w:rsid w:val="002A5A39"/>
    <w:rsid w:val="002A61C3"/>
    <w:rsid w:val="002A6257"/>
    <w:rsid w:val="002A7747"/>
    <w:rsid w:val="002B1592"/>
    <w:rsid w:val="002B2330"/>
    <w:rsid w:val="002B247F"/>
    <w:rsid w:val="002B45B8"/>
    <w:rsid w:val="002B55A3"/>
    <w:rsid w:val="002C0865"/>
    <w:rsid w:val="002C19AC"/>
    <w:rsid w:val="002C1C02"/>
    <w:rsid w:val="002C2B16"/>
    <w:rsid w:val="002C2F27"/>
    <w:rsid w:val="002C372A"/>
    <w:rsid w:val="002C4E6D"/>
    <w:rsid w:val="002C4F09"/>
    <w:rsid w:val="002C5959"/>
    <w:rsid w:val="002C758A"/>
    <w:rsid w:val="002D0D19"/>
    <w:rsid w:val="002D1220"/>
    <w:rsid w:val="002D1E6B"/>
    <w:rsid w:val="002D26CD"/>
    <w:rsid w:val="002D2EF8"/>
    <w:rsid w:val="002D33C3"/>
    <w:rsid w:val="002D3E94"/>
    <w:rsid w:val="002D4CF9"/>
    <w:rsid w:val="002D6AF1"/>
    <w:rsid w:val="002D6B3B"/>
    <w:rsid w:val="002D74DC"/>
    <w:rsid w:val="002D755E"/>
    <w:rsid w:val="002D78D2"/>
    <w:rsid w:val="002E029B"/>
    <w:rsid w:val="002E42B9"/>
    <w:rsid w:val="002E432C"/>
    <w:rsid w:val="002E4C58"/>
    <w:rsid w:val="002E4D82"/>
    <w:rsid w:val="002E572D"/>
    <w:rsid w:val="002E5796"/>
    <w:rsid w:val="002E5E19"/>
    <w:rsid w:val="002E793A"/>
    <w:rsid w:val="002F09C6"/>
    <w:rsid w:val="002F0A7D"/>
    <w:rsid w:val="002F2C93"/>
    <w:rsid w:val="002F36F0"/>
    <w:rsid w:val="002F49C4"/>
    <w:rsid w:val="002F6F3F"/>
    <w:rsid w:val="002F7597"/>
    <w:rsid w:val="002F771E"/>
    <w:rsid w:val="00300DCC"/>
    <w:rsid w:val="0030179D"/>
    <w:rsid w:val="00301A89"/>
    <w:rsid w:val="0030272A"/>
    <w:rsid w:val="003028F1"/>
    <w:rsid w:val="00304149"/>
    <w:rsid w:val="003060AF"/>
    <w:rsid w:val="003064C5"/>
    <w:rsid w:val="00306A05"/>
    <w:rsid w:val="003108CA"/>
    <w:rsid w:val="00311841"/>
    <w:rsid w:val="00312226"/>
    <w:rsid w:val="00314203"/>
    <w:rsid w:val="00314240"/>
    <w:rsid w:val="003153DA"/>
    <w:rsid w:val="00316E96"/>
    <w:rsid w:val="003171A1"/>
    <w:rsid w:val="00320317"/>
    <w:rsid w:val="00321ED8"/>
    <w:rsid w:val="0032307F"/>
    <w:rsid w:val="0032374F"/>
    <w:rsid w:val="0032380E"/>
    <w:rsid w:val="00325BF9"/>
    <w:rsid w:val="00326CDE"/>
    <w:rsid w:val="003274F0"/>
    <w:rsid w:val="00327846"/>
    <w:rsid w:val="00327ABC"/>
    <w:rsid w:val="00330B10"/>
    <w:rsid w:val="00331034"/>
    <w:rsid w:val="00331691"/>
    <w:rsid w:val="003348E7"/>
    <w:rsid w:val="00334B0E"/>
    <w:rsid w:val="003358F7"/>
    <w:rsid w:val="00335F3D"/>
    <w:rsid w:val="0034012A"/>
    <w:rsid w:val="0034313C"/>
    <w:rsid w:val="00344176"/>
    <w:rsid w:val="003441C5"/>
    <w:rsid w:val="00344BBC"/>
    <w:rsid w:val="00345FA0"/>
    <w:rsid w:val="00347465"/>
    <w:rsid w:val="00347D7E"/>
    <w:rsid w:val="00352154"/>
    <w:rsid w:val="003557DF"/>
    <w:rsid w:val="003570CC"/>
    <w:rsid w:val="003574EC"/>
    <w:rsid w:val="00357506"/>
    <w:rsid w:val="00360FAA"/>
    <w:rsid w:val="0036177B"/>
    <w:rsid w:val="00362F01"/>
    <w:rsid w:val="003630CD"/>
    <w:rsid w:val="00364230"/>
    <w:rsid w:val="00366C84"/>
    <w:rsid w:val="003679B7"/>
    <w:rsid w:val="00373C46"/>
    <w:rsid w:val="00373FEF"/>
    <w:rsid w:val="00374843"/>
    <w:rsid w:val="00374AD6"/>
    <w:rsid w:val="00374AE9"/>
    <w:rsid w:val="00376009"/>
    <w:rsid w:val="003761D4"/>
    <w:rsid w:val="0037704F"/>
    <w:rsid w:val="00377912"/>
    <w:rsid w:val="00381AE9"/>
    <w:rsid w:val="00381B47"/>
    <w:rsid w:val="00381CA9"/>
    <w:rsid w:val="0038221F"/>
    <w:rsid w:val="00383766"/>
    <w:rsid w:val="0038520E"/>
    <w:rsid w:val="003855D6"/>
    <w:rsid w:val="00387D25"/>
    <w:rsid w:val="00392C4A"/>
    <w:rsid w:val="00393C03"/>
    <w:rsid w:val="00395161"/>
    <w:rsid w:val="00397221"/>
    <w:rsid w:val="003976FD"/>
    <w:rsid w:val="00397ED7"/>
    <w:rsid w:val="003A08AC"/>
    <w:rsid w:val="003A193C"/>
    <w:rsid w:val="003A1982"/>
    <w:rsid w:val="003A25C0"/>
    <w:rsid w:val="003A3E38"/>
    <w:rsid w:val="003A42E2"/>
    <w:rsid w:val="003A43AC"/>
    <w:rsid w:val="003A4B41"/>
    <w:rsid w:val="003A4BE8"/>
    <w:rsid w:val="003A7508"/>
    <w:rsid w:val="003A7599"/>
    <w:rsid w:val="003A7637"/>
    <w:rsid w:val="003A7992"/>
    <w:rsid w:val="003B0059"/>
    <w:rsid w:val="003B1116"/>
    <w:rsid w:val="003B1D82"/>
    <w:rsid w:val="003B20CF"/>
    <w:rsid w:val="003B2603"/>
    <w:rsid w:val="003B3095"/>
    <w:rsid w:val="003B3460"/>
    <w:rsid w:val="003B4291"/>
    <w:rsid w:val="003B454A"/>
    <w:rsid w:val="003B4AED"/>
    <w:rsid w:val="003B5B34"/>
    <w:rsid w:val="003B73CB"/>
    <w:rsid w:val="003C0163"/>
    <w:rsid w:val="003C040F"/>
    <w:rsid w:val="003C13BD"/>
    <w:rsid w:val="003C1811"/>
    <w:rsid w:val="003C1BCD"/>
    <w:rsid w:val="003C2200"/>
    <w:rsid w:val="003C417A"/>
    <w:rsid w:val="003C437F"/>
    <w:rsid w:val="003C45EA"/>
    <w:rsid w:val="003C54D3"/>
    <w:rsid w:val="003C5683"/>
    <w:rsid w:val="003D1F49"/>
    <w:rsid w:val="003D1F5C"/>
    <w:rsid w:val="003D4EEB"/>
    <w:rsid w:val="003D5E4A"/>
    <w:rsid w:val="003E1C73"/>
    <w:rsid w:val="003E350B"/>
    <w:rsid w:val="003E3D59"/>
    <w:rsid w:val="003E4591"/>
    <w:rsid w:val="003E50D6"/>
    <w:rsid w:val="003E5708"/>
    <w:rsid w:val="003E5B1B"/>
    <w:rsid w:val="003E75D3"/>
    <w:rsid w:val="003F0231"/>
    <w:rsid w:val="003F0751"/>
    <w:rsid w:val="003F2982"/>
    <w:rsid w:val="003F322E"/>
    <w:rsid w:val="003F4A78"/>
    <w:rsid w:val="004019A3"/>
    <w:rsid w:val="004023A8"/>
    <w:rsid w:val="00402AE9"/>
    <w:rsid w:val="00402C66"/>
    <w:rsid w:val="00403599"/>
    <w:rsid w:val="00403C04"/>
    <w:rsid w:val="004040B6"/>
    <w:rsid w:val="004055DC"/>
    <w:rsid w:val="004058B7"/>
    <w:rsid w:val="0040694F"/>
    <w:rsid w:val="00406CFE"/>
    <w:rsid w:val="004104BD"/>
    <w:rsid w:val="0041097F"/>
    <w:rsid w:val="00410D06"/>
    <w:rsid w:val="0041101E"/>
    <w:rsid w:val="00411D6D"/>
    <w:rsid w:val="00411F87"/>
    <w:rsid w:val="00414358"/>
    <w:rsid w:val="00416876"/>
    <w:rsid w:val="00416C43"/>
    <w:rsid w:val="004201A2"/>
    <w:rsid w:val="0042116D"/>
    <w:rsid w:val="004216C0"/>
    <w:rsid w:val="00422968"/>
    <w:rsid w:val="00424AA0"/>
    <w:rsid w:val="0042656E"/>
    <w:rsid w:val="0043082A"/>
    <w:rsid w:val="00431E94"/>
    <w:rsid w:val="00432D94"/>
    <w:rsid w:val="00433FAC"/>
    <w:rsid w:val="00434275"/>
    <w:rsid w:val="00435C1D"/>
    <w:rsid w:val="00437737"/>
    <w:rsid w:val="00437C65"/>
    <w:rsid w:val="00440873"/>
    <w:rsid w:val="00444ABF"/>
    <w:rsid w:val="00444B20"/>
    <w:rsid w:val="0044521C"/>
    <w:rsid w:val="00445EAD"/>
    <w:rsid w:val="00446976"/>
    <w:rsid w:val="00450D8A"/>
    <w:rsid w:val="0045181A"/>
    <w:rsid w:val="00451D41"/>
    <w:rsid w:val="004520B1"/>
    <w:rsid w:val="00452723"/>
    <w:rsid w:val="00452889"/>
    <w:rsid w:val="004544B3"/>
    <w:rsid w:val="00460C28"/>
    <w:rsid w:val="00461AED"/>
    <w:rsid w:val="004625AC"/>
    <w:rsid w:val="00463052"/>
    <w:rsid w:val="00465374"/>
    <w:rsid w:val="0046649B"/>
    <w:rsid w:val="004669C3"/>
    <w:rsid w:val="00466EAA"/>
    <w:rsid w:val="00470800"/>
    <w:rsid w:val="004724AA"/>
    <w:rsid w:val="00472800"/>
    <w:rsid w:val="0047479A"/>
    <w:rsid w:val="00474914"/>
    <w:rsid w:val="00474F0D"/>
    <w:rsid w:val="00474F6B"/>
    <w:rsid w:val="004766F5"/>
    <w:rsid w:val="00476732"/>
    <w:rsid w:val="00476A4F"/>
    <w:rsid w:val="004771F2"/>
    <w:rsid w:val="004813DF"/>
    <w:rsid w:val="00481685"/>
    <w:rsid w:val="0048178C"/>
    <w:rsid w:val="00481A19"/>
    <w:rsid w:val="004823A7"/>
    <w:rsid w:val="00482BED"/>
    <w:rsid w:val="00483CBD"/>
    <w:rsid w:val="0048572A"/>
    <w:rsid w:val="004916BF"/>
    <w:rsid w:val="004920DE"/>
    <w:rsid w:val="004935D4"/>
    <w:rsid w:val="00493828"/>
    <w:rsid w:val="00494AB4"/>
    <w:rsid w:val="00494F9D"/>
    <w:rsid w:val="00495810"/>
    <w:rsid w:val="004975DC"/>
    <w:rsid w:val="004A0121"/>
    <w:rsid w:val="004A064E"/>
    <w:rsid w:val="004A1CD6"/>
    <w:rsid w:val="004A1E3F"/>
    <w:rsid w:val="004A2580"/>
    <w:rsid w:val="004A266C"/>
    <w:rsid w:val="004A41C2"/>
    <w:rsid w:val="004A642B"/>
    <w:rsid w:val="004B0444"/>
    <w:rsid w:val="004B200F"/>
    <w:rsid w:val="004B53DB"/>
    <w:rsid w:val="004B54A7"/>
    <w:rsid w:val="004B54C1"/>
    <w:rsid w:val="004B5B07"/>
    <w:rsid w:val="004B60BC"/>
    <w:rsid w:val="004B62EE"/>
    <w:rsid w:val="004B7C02"/>
    <w:rsid w:val="004C092B"/>
    <w:rsid w:val="004C0C4C"/>
    <w:rsid w:val="004C10E9"/>
    <w:rsid w:val="004C1842"/>
    <w:rsid w:val="004C1853"/>
    <w:rsid w:val="004C1F8A"/>
    <w:rsid w:val="004C2729"/>
    <w:rsid w:val="004C423C"/>
    <w:rsid w:val="004C5EE9"/>
    <w:rsid w:val="004C698E"/>
    <w:rsid w:val="004C6DE4"/>
    <w:rsid w:val="004C7056"/>
    <w:rsid w:val="004D02D3"/>
    <w:rsid w:val="004D1F05"/>
    <w:rsid w:val="004D2041"/>
    <w:rsid w:val="004D45C2"/>
    <w:rsid w:val="004D4879"/>
    <w:rsid w:val="004D5775"/>
    <w:rsid w:val="004D6544"/>
    <w:rsid w:val="004D6ACC"/>
    <w:rsid w:val="004D71FD"/>
    <w:rsid w:val="004E0CFF"/>
    <w:rsid w:val="004E165E"/>
    <w:rsid w:val="004E3C4F"/>
    <w:rsid w:val="004E433C"/>
    <w:rsid w:val="004E557B"/>
    <w:rsid w:val="004E727D"/>
    <w:rsid w:val="004E7CA3"/>
    <w:rsid w:val="004F1A69"/>
    <w:rsid w:val="004F1F93"/>
    <w:rsid w:val="004F39E0"/>
    <w:rsid w:val="004F3B87"/>
    <w:rsid w:val="004F3BE3"/>
    <w:rsid w:val="004F47F9"/>
    <w:rsid w:val="004F5EE4"/>
    <w:rsid w:val="004F6E69"/>
    <w:rsid w:val="004F710A"/>
    <w:rsid w:val="00500C21"/>
    <w:rsid w:val="0050121A"/>
    <w:rsid w:val="005019CF"/>
    <w:rsid w:val="00502077"/>
    <w:rsid w:val="005024BC"/>
    <w:rsid w:val="00505485"/>
    <w:rsid w:val="00505B27"/>
    <w:rsid w:val="00506121"/>
    <w:rsid w:val="005079AD"/>
    <w:rsid w:val="00507D39"/>
    <w:rsid w:val="00512A2C"/>
    <w:rsid w:val="00514604"/>
    <w:rsid w:val="00514C52"/>
    <w:rsid w:val="0051594F"/>
    <w:rsid w:val="00515B1C"/>
    <w:rsid w:val="00517016"/>
    <w:rsid w:val="00517846"/>
    <w:rsid w:val="00520F02"/>
    <w:rsid w:val="00521030"/>
    <w:rsid w:val="0052167C"/>
    <w:rsid w:val="00521DDD"/>
    <w:rsid w:val="00521F61"/>
    <w:rsid w:val="00523A21"/>
    <w:rsid w:val="00525197"/>
    <w:rsid w:val="0052561A"/>
    <w:rsid w:val="00525A9B"/>
    <w:rsid w:val="00525C4A"/>
    <w:rsid w:val="0052653F"/>
    <w:rsid w:val="00526999"/>
    <w:rsid w:val="00526AB2"/>
    <w:rsid w:val="00526F23"/>
    <w:rsid w:val="0052778F"/>
    <w:rsid w:val="00527898"/>
    <w:rsid w:val="005306CF"/>
    <w:rsid w:val="005306E2"/>
    <w:rsid w:val="00530E91"/>
    <w:rsid w:val="005310C3"/>
    <w:rsid w:val="005319E1"/>
    <w:rsid w:val="00532552"/>
    <w:rsid w:val="0053282A"/>
    <w:rsid w:val="005335D6"/>
    <w:rsid w:val="0053383A"/>
    <w:rsid w:val="0053494F"/>
    <w:rsid w:val="005350CA"/>
    <w:rsid w:val="00535CBB"/>
    <w:rsid w:val="00536245"/>
    <w:rsid w:val="005370C9"/>
    <w:rsid w:val="00537B94"/>
    <w:rsid w:val="00540D18"/>
    <w:rsid w:val="00540D68"/>
    <w:rsid w:val="0054287E"/>
    <w:rsid w:val="005429FA"/>
    <w:rsid w:val="00543542"/>
    <w:rsid w:val="005436A0"/>
    <w:rsid w:val="00544D88"/>
    <w:rsid w:val="00544F18"/>
    <w:rsid w:val="00545775"/>
    <w:rsid w:val="005458B4"/>
    <w:rsid w:val="00550A9D"/>
    <w:rsid w:val="005520DA"/>
    <w:rsid w:val="005524D0"/>
    <w:rsid w:val="00554975"/>
    <w:rsid w:val="00554C38"/>
    <w:rsid w:val="00555E62"/>
    <w:rsid w:val="005566F0"/>
    <w:rsid w:val="00556DE5"/>
    <w:rsid w:val="005575F6"/>
    <w:rsid w:val="0055784F"/>
    <w:rsid w:val="00557D48"/>
    <w:rsid w:val="00557E45"/>
    <w:rsid w:val="00557EE9"/>
    <w:rsid w:val="00561D6A"/>
    <w:rsid w:val="005629B6"/>
    <w:rsid w:val="005632F0"/>
    <w:rsid w:val="005640DB"/>
    <w:rsid w:val="00564535"/>
    <w:rsid w:val="0056636B"/>
    <w:rsid w:val="005673C3"/>
    <w:rsid w:val="00567491"/>
    <w:rsid w:val="005674B3"/>
    <w:rsid w:val="00571CAE"/>
    <w:rsid w:val="005721C2"/>
    <w:rsid w:val="005744B3"/>
    <w:rsid w:val="005747F7"/>
    <w:rsid w:val="00576B86"/>
    <w:rsid w:val="00577DDB"/>
    <w:rsid w:val="00580E4C"/>
    <w:rsid w:val="005824F3"/>
    <w:rsid w:val="00582D36"/>
    <w:rsid w:val="00583C5B"/>
    <w:rsid w:val="00584493"/>
    <w:rsid w:val="00584700"/>
    <w:rsid w:val="00584DDE"/>
    <w:rsid w:val="00585172"/>
    <w:rsid w:val="00585812"/>
    <w:rsid w:val="00586B2C"/>
    <w:rsid w:val="00590799"/>
    <w:rsid w:val="00590C49"/>
    <w:rsid w:val="0059156A"/>
    <w:rsid w:val="0059216D"/>
    <w:rsid w:val="00592B2A"/>
    <w:rsid w:val="00593452"/>
    <w:rsid w:val="005935F5"/>
    <w:rsid w:val="00594EE5"/>
    <w:rsid w:val="00596C58"/>
    <w:rsid w:val="005A13EE"/>
    <w:rsid w:val="005A3308"/>
    <w:rsid w:val="005A5A91"/>
    <w:rsid w:val="005A5B30"/>
    <w:rsid w:val="005A70E7"/>
    <w:rsid w:val="005A7B04"/>
    <w:rsid w:val="005B027B"/>
    <w:rsid w:val="005B0AA0"/>
    <w:rsid w:val="005B0B99"/>
    <w:rsid w:val="005B1FE9"/>
    <w:rsid w:val="005B2F11"/>
    <w:rsid w:val="005B31F3"/>
    <w:rsid w:val="005B4724"/>
    <w:rsid w:val="005B476D"/>
    <w:rsid w:val="005B627F"/>
    <w:rsid w:val="005B76C6"/>
    <w:rsid w:val="005C3BF3"/>
    <w:rsid w:val="005C4074"/>
    <w:rsid w:val="005C42C3"/>
    <w:rsid w:val="005C49DF"/>
    <w:rsid w:val="005C5979"/>
    <w:rsid w:val="005C6798"/>
    <w:rsid w:val="005D0CBA"/>
    <w:rsid w:val="005D1B6B"/>
    <w:rsid w:val="005D1D54"/>
    <w:rsid w:val="005D306B"/>
    <w:rsid w:val="005D3812"/>
    <w:rsid w:val="005D4161"/>
    <w:rsid w:val="005D4BA9"/>
    <w:rsid w:val="005D501D"/>
    <w:rsid w:val="005D5C7F"/>
    <w:rsid w:val="005D647E"/>
    <w:rsid w:val="005D696B"/>
    <w:rsid w:val="005D7A21"/>
    <w:rsid w:val="005E086F"/>
    <w:rsid w:val="005E0DFE"/>
    <w:rsid w:val="005E1493"/>
    <w:rsid w:val="005E25E2"/>
    <w:rsid w:val="005E2F79"/>
    <w:rsid w:val="005E36E7"/>
    <w:rsid w:val="005E436B"/>
    <w:rsid w:val="005E7B44"/>
    <w:rsid w:val="005F0247"/>
    <w:rsid w:val="005F16DE"/>
    <w:rsid w:val="005F17D7"/>
    <w:rsid w:val="005F208E"/>
    <w:rsid w:val="005F2953"/>
    <w:rsid w:val="005F3675"/>
    <w:rsid w:val="005F4EA4"/>
    <w:rsid w:val="005F4FE6"/>
    <w:rsid w:val="005F6755"/>
    <w:rsid w:val="005F7927"/>
    <w:rsid w:val="006019A8"/>
    <w:rsid w:val="00601E2E"/>
    <w:rsid w:val="00602553"/>
    <w:rsid w:val="00602CD7"/>
    <w:rsid w:val="00602D1A"/>
    <w:rsid w:val="00603100"/>
    <w:rsid w:val="00603FAA"/>
    <w:rsid w:val="0060477F"/>
    <w:rsid w:val="00604BD3"/>
    <w:rsid w:val="006055DD"/>
    <w:rsid w:val="00605E00"/>
    <w:rsid w:val="0060676B"/>
    <w:rsid w:val="0060781E"/>
    <w:rsid w:val="00610AAB"/>
    <w:rsid w:val="00610EE2"/>
    <w:rsid w:val="006115C7"/>
    <w:rsid w:val="006120CF"/>
    <w:rsid w:val="0061423D"/>
    <w:rsid w:val="00614446"/>
    <w:rsid w:val="006147F5"/>
    <w:rsid w:val="006168CF"/>
    <w:rsid w:val="006175F2"/>
    <w:rsid w:val="00617C2D"/>
    <w:rsid w:val="00617F42"/>
    <w:rsid w:val="0062127D"/>
    <w:rsid w:val="00622B58"/>
    <w:rsid w:val="00624D59"/>
    <w:rsid w:val="006267F1"/>
    <w:rsid w:val="00627C65"/>
    <w:rsid w:val="00627E33"/>
    <w:rsid w:val="00631E2F"/>
    <w:rsid w:val="00632AA6"/>
    <w:rsid w:val="0063489B"/>
    <w:rsid w:val="0063589C"/>
    <w:rsid w:val="006366BF"/>
    <w:rsid w:val="0063697C"/>
    <w:rsid w:val="00637132"/>
    <w:rsid w:val="00640223"/>
    <w:rsid w:val="00642F86"/>
    <w:rsid w:val="006438DF"/>
    <w:rsid w:val="0064560F"/>
    <w:rsid w:val="00646D94"/>
    <w:rsid w:val="00647271"/>
    <w:rsid w:val="00647738"/>
    <w:rsid w:val="0065191C"/>
    <w:rsid w:val="0065205A"/>
    <w:rsid w:val="006520B5"/>
    <w:rsid w:val="006536BC"/>
    <w:rsid w:val="00656AF3"/>
    <w:rsid w:val="006609E9"/>
    <w:rsid w:val="00660FBD"/>
    <w:rsid w:val="00661F48"/>
    <w:rsid w:val="0066271F"/>
    <w:rsid w:val="00662F29"/>
    <w:rsid w:val="0066446C"/>
    <w:rsid w:val="006644C2"/>
    <w:rsid w:val="00664E1D"/>
    <w:rsid w:val="00664E8B"/>
    <w:rsid w:val="00666FB3"/>
    <w:rsid w:val="00667E23"/>
    <w:rsid w:val="0067009D"/>
    <w:rsid w:val="006700F3"/>
    <w:rsid w:val="0067011D"/>
    <w:rsid w:val="00670218"/>
    <w:rsid w:val="00671B07"/>
    <w:rsid w:val="00671E7A"/>
    <w:rsid w:val="00672A5D"/>
    <w:rsid w:val="00672CB2"/>
    <w:rsid w:val="00673404"/>
    <w:rsid w:val="00673533"/>
    <w:rsid w:val="00673B78"/>
    <w:rsid w:val="00673ED1"/>
    <w:rsid w:val="0067435C"/>
    <w:rsid w:val="006757CE"/>
    <w:rsid w:val="00676867"/>
    <w:rsid w:val="00677529"/>
    <w:rsid w:val="00677530"/>
    <w:rsid w:val="0067769A"/>
    <w:rsid w:val="00677965"/>
    <w:rsid w:val="006831AE"/>
    <w:rsid w:val="006831CD"/>
    <w:rsid w:val="00683208"/>
    <w:rsid w:val="00683210"/>
    <w:rsid w:val="00683DF6"/>
    <w:rsid w:val="0068481F"/>
    <w:rsid w:val="00686161"/>
    <w:rsid w:val="00687A90"/>
    <w:rsid w:val="00687A93"/>
    <w:rsid w:val="0069055F"/>
    <w:rsid w:val="0069065F"/>
    <w:rsid w:val="00691630"/>
    <w:rsid w:val="00695515"/>
    <w:rsid w:val="00695740"/>
    <w:rsid w:val="006977BF"/>
    <w:rsid w:val="006A08CA"/>
    <w:rsid w:val="006A0C55"/>
    <w:rsid w:val="006A1168"/>
    <w:rsid w:val="006A1D36"/>
    <w:rsid w:val="006A3E2C"/>
    <w:rsid w:val="006A4650"/>
    <w:rsid w:val="006A6030"/>
    <w:rsid w:val="006A70E3"/>
    <w:rsid w:val="006A7A59"/>
    <w:rsid w:val="006A7F3F"/>
    <w:rsid w:val="006B0352"/>
    <w:rsid w:val="006B0D41"/>
    <w:rsid w:val="006B1EBD"/>
    <w:rsid w:val="006B2191"/>
    <w:rsid w:val="006B24AE"/>
    <w:rsid w:val="006B4492"/>
    <w:rsid w:val="006B4843"/>
    <w:rsid w:val="006B4905"/>
    <w:rsid w:val="006B4BC6"/>
    <w:rsid w:val="006B5B84"/>
    <w:rsid w:val="006B697D"/>
    <w:rsid w:val="006B70A3"/>
    <w:rsid w:val="006B71E0"/>
    <w:rsid w:val="006B73B3"/>
    <w:rsid w:val="006B7556"/>
    <w:rsid w:val="006B7ADA"/>
    <w:rsid w:val="006C2344"/>
    <w:rsid w:val="006C3A07"/>
    <w:rsid w:val="006C49BB"/>
    <w:rsid w:val="006C5631"/>
    <w:rsid w:val="006D053B"/>
    <w:rsid w:val="006D1535"/>
    <w:rsid w:val="006D321A"/>
    <w:rsid w:val="006D4A99"/>
    <w:rsid w:val="006D4C29"/>
    <w:rsid w:val="006D4C7D"/>
    <w:rsid w:val="006D5DE2"/>
    <w:rsid w:val="006D649F"/>
    <w:rsid w:val="006D6614"/>
    <w:rsid w:val="006D745D"/>
    <w:rsid w:val="006E0E74"/>
    <w:rsid w:val="006E0F99"/>
    <w:rsid w:val="006E1DA5"/>
    <w:rsid w:val="006E2283"/>
    <w:rsid w:val="006E31AC"/>
    <w:rsid w:val="006E4C4C"/>
    <w:rsid w:val="006E6E0A"/>
    <w:rsid w:val="006E73C1"/>
    <w:rsid w:val="006F076F"/>
    <w:rsid w:val="006F077E"/>
    <w:rsid w:val="006F0840"/>
    <w:rsid w:val="006F0DD1"/>
    <w:rsid w:val="006F213C"/>
    <w:rsid w:val="006F272D"/>
    <w:rsid w:val="006F2891"/>
    <w:rsid w:val="006F2D5E"/>
    <w:rsid w:val="006F355E"/>
    <w:rsid w:val="006F3C0C"/>
    <w:rsid w:val="006F470D"/>
    <w:rsid w:val="006F50D1"/>
    <w:rsid w:val="006F5448"/>
    <w:rsid w:val="006F6AAA"/>
    <w:rsid w:val="006F71C0"/>
    <w:rsid w:val="007015EF"/>
    <w:rsid w:val="007018CC"/>
    <w:rsid w:val="00702C00"/>
    <w:rsid w:val="00705F8F"/>
    <w:rsid w:val="007060CE"/>
    <w:rsid w:val="0070622C"/>
    <w:rsid w:val="00707192"/>
    <w:rsid w:val="007074BA"/>
    <w:rsid w:val="007102DF"/>
    <w:rsid w:val="00710B0D"/>
    <w:rsid w:val="00712AB2"/>
    <w:rsid w:val="00714281"/>
    <w:rsid w:val="0071661D"/>
    <w:rsid w:val="00716717"/>
    <w:rsid w:val="00716EEB"/>
    <w:rsid w:val="007170AB"/>
    <w:rsid w:val="00717DB2"/>
    <w:rsid w:val="00720316"/>
    <w:rsid w:val="0072236D"/>
    <w:rsid w:val="0072413C"/>
    <w:rsid w:val="007250D9"/>
    <w:rsid w:val="007251A7"/>
    <w:rsid w:val="0072526F"/>
    <w:rsid w:val="00725EEF"/>
    <w:rsid w:val="007278BA"/>
    <w:rsid w:val="00727B01"/>
    <w:rsid w:val="00730757"/>
    <w:rsid w:val="00732043"/>
    <w:rsid w:val="007340AA"/>
    <w:rsid w:val="0073429B"/>
    <w:rsid w:val="00735657"/>
    <w:rsid w:val="00737169"/>
    <w:rsid w:val="007404CD"/>
    <w:rsid w:val="00740C0A"/>
    <w:rsid w:val="00740C1B"/>
    <w:rsid w:val="00740C25"/>
    <w:rsid w:val="007413F5"/>
    <w:rsid w:val="00744032"/>
    <w:rsid w:val="007444E0"/>
    <w:rsid w:val="007476A6"/>
    <w:rsid w:val="00747BE5"/>
    <w:rsid w:val="0075141D"/>
    <w:rsid w:val="007551AD"/>
    <w:rsid w:val="00757D09"/>
    <w:rsid w:val="00760F7F"/>
    <w:rsid w:val="00761089"/>
    <w:rsid w:val="00761992"/>
    <w:rsid w:val="00762028"/>
    <w:rsid w:val="0076278E"/>
    <w:rsid w:val="00762799"/>
    <w:rsid w:val="00762CED"/>
    <w:rsid w:val="007631F7"/>
    <w:rsid w:val="007635B1"/>
    <w:rsid w:val="00763A99"/>
    <w:rsid w:val="0076457D"/>
    <w:rsid w:val="007648E0"/>
    <w:rsid w:val="00765042"/>
    <w:rsid w:val="00766AF8"/>
    <w:rsid w:val="0077095C"/>
    <w:rsid w:val="00770A9C"/>
    <w:rsid w:val="0077120B"/>
    <w:rsid w:val="0077177D"/>
    <w:rsid w:val="00774184"/>
    <w:rsid w:val="0077584C"/>
    <w:rsid w:val="007766F6"/>
    <w:rsid w:val="00781417"/>
    <w:rsid w:val="00781B62"/>
    <w:rsid w:val="007821DA"/>
    <w:rsid w:val="00783E62"/>
    <w:rsid w:val="00784543"/>
    <w:rsid w:val="00785B67"/>
    <w:rsid w:val="00786B27"/>
    <w:rsid w:val="00786F24"/>
    <w:rsid w:val="0078706B"/>
    <w:rsid w:val="0078717F"/>
    <w:rsid w:val="00787FA8"/>
    <w:rsid w:val="0079008B"/>
    <w:rsid w:val="00790458"/>
    <w:rsid w:val="007930B6"/>
    <w:rsid w:val="007935A4"/>
    <w:rsid w:val="00793745"/>
    <w:rsid w:val="007937C4"/>
    <w:rsid w:val="00794238"/>
    <w:rsid w:val="00794C5E"/>
    <w:rsid w:val="007958D1"/>
    <w:rsid w:val="00797706"/>
    <w:rsid w:val="0079797C"/>
    <w:rsid w:val="007A23BD"/>
    <w:rsid w:val="007A2A3B"/>
    <w:rsid w:val="007A3095"/>
    <w:rsid w:val="007A64DA"/>
    <w:rsid w:val="007A7741"/>
    <w:rsid w:val="007A7B7D"/>
    <w:rsid w:val="007B019F"/>
    <w:rsid w:val="007B136D"/>
    <w:rsid w:val="007B19B8"/>
    <w:rsid w:val="007B1FB8"/>
    <w:rsid w:val="007B3717"/>
    <w:rsid w:val="007B4A1C"/>
    <w:rsid w:val="007B5169"/>
    <w:rsid w:val="007B5C93"/>
    <w:rsid w:val="007B6A6A"/>
    <w:rsid w:val="007B74B1"/>
    <w:rsid w:val="007C10E2"/>
    <w:rsid w:val="007C14DD"/>
    <w:rsid w:val="007C19FE"/>
    <w:rsid w:val="007C4627"/>
    <w:rsid w:val="007C50DB"/>
    <w:rsid w:val="007C5BBC"/>
    <w:rsid w:val="007C5BD5"/>
    <w:rsid w:val="007C5EA0"/>
    <w:rsid w:val="007D1FF0"/>
    <w:rsid w:val="007D404C"/>
    <w:rsid w:val="007D5293"/>
    <w:rsid w:val="007D5892"/>
    <w:rsid w:val="007D5C29"/>
    <w:rsid w:val="007D5E90"/>
    <w:rsid w:val="007D6B61"/>
    <w:rsid w:val="007E0104"/>
    <w:rsid w:val="007E069D"/>
    <w:rsid w:val="007E090B"/>
    <w:rsid w:val="007E1B71"/>
    <w:rsid w:val="007E3482"/>
    <w:rsid w:val="007E34C4"/>
    <w:rsid w:val="007E3BD8"/>
    <w:rsid w:val="007E487C"/>
    <w:rsid w:val="007E59EB"/>
    <w:rsid w:val="007E6501"/>
    <w:rsid w:val="007E6D93"/>
    <w:rsid w:val="007F0A5C"/>
    <w:rsid w:val="007F0D13"/>
    <w:rsid w:val="007F2BE1"/>
    <w:rsid w:val="007F3368"/>
    <w:rsid w:val="007F36F5"/>
    <w:rsid w:val="007F3EED"/>
    <w:rsid w:val="007F6B82"/>
    <w:rsid w:val="007F6D78"/>
    <w:rsid w:val="007F6EC2"/>
    <w:rsid w:val="007F729A"/>
    <w:rsid w:val="007F732A"/>
    <w:rsid w:val="00803075"/>
    <w:rsid w:val="00805A51"/>
    <w:rsid w:val="00805F18"/>
    <w:rsid w:val="00806BBA"/>
    <w:rsid w:val="00810014"/>
    <w:rsid w:val="00810570"/>
    <w:rsid w:val="00810E67"/>
    <w:rsid w:val="00811195"/>
    <w:rsid w:val="00812242"/>
    <w:rsid w:val="00812804"/>
    <w:rsid w:val="00812E79"/>
    <w:rsid w:val="00813671"/>
    <w:rsid w:val="00813FB7"/>
    <w:rsid w:val="008142B6"/>
    <w:rsid w:val="008148A3"/>
    <w:rsid w:val="00814CD7"/>
    <w:rsid w:val="00815226"/>
    <w:rsid w:val="00815448"/>
    <w:rsid w:val="00815467"/>
    <w:rsid w:val="00815DA1"/>
    <w:rsid w:val="00816311"/>
    <w:rsid w:val="00820D84"/>
    <w:rsid w:val="00820EB5"/>
    <w:rsid w:val="00821098"/>
    <w:rsid w:val="008215C5"/>
    <w:rsid w:val="00821A34"/>
    <w:rsid w:val="00822E95"/>
    <w:rsid w:val="00823FA6"/>
    <w:rsid w:val="008255D8"/>
    <w:rsid w:val="00825A4F"/>
    <w:rsid w:val="00826341"/>
    <w:rsid w:val="00827536"/>
    <w:rsid w:val="00827AA2"/>
    <w:rsid w:val="00830C44"/>
    <w:rsid w:val="0083105C"/>
    <w:rsid w:val="0083195C"/>
    <w:rsid w:val="00831E00"/>
    <w:rsid w:val="008336E3"/>
    <w:rsid w:val="00833A02"/>
    <w:rsid w:val="00835729"/>
    <w:rsid w:val="008373A1"/>
    <w:rsid w:val="00837872"/>
    <w:rsid w:val="00837A4C"/>
    <w:rsid w:val="00837A9F"/>
    <w:rsid w:val="00840B3B"/>
    <w:rsid w:val="00841141"/>
    <w:rsid w:val="00843567"/>
    <w:rsid w:val="0084369F"/>
    <w:rsid w:val="00844CB3"/>
    <w:rsid w:val="00846377"/>
    <w:rsid w:val="00846E55"/>
    <w:rsid w:val="00850751"/>
    <w:rsid w:val="00851CCD"/>
    <w:rsid w:val="00852512"/>
    <w:rsid w:val="00853070"/>
    <w:rsid w:val="0085354B"/>
    <w:rsid w:val="008541A4"/>
    <w:rsid w:val="00857CCD"/>
    <w:rsid w:val="00860E10"/>
    <w:rsid w:val="00860FA7"/>
    <w:rsid w:val="00861877"/>
    <w:rsid w:val="00861B7B"/>
    <w:rsid w:val="00862C08"/>
    <w:rsid w:val="00863387"/>
    <w:rsid w:val="00863C32"/>
    <w:rsid w:val="00864A33"/>
    <w:rsid w:val="00865113"/>
    <w:rsid w:val="008659FB"/>
    <w:rsid w:val="00866693"/>
    <w:rsid w:val="008707FF"/>
    <w:rsid w:val="00870A98"/>
    <w:rsid w:val="008716E6"/>
    <w:rsid w:val="00872225"/>
    <w:rsid w:val="008725C1"/>
    <w:rsid w:val="00872E85"/>
    <w:rsid w:val="0087646E"/>
    <w:rsid w:val="00876A62"/>
    <w:rsid w:val="00876B1B"/>
    <w:rsid w:val="00884877"/>
    <w:rsid w:val="00884D97"/>
    <w:rsid w:val="00884DD9"/>
    <w:rsid w:val="00884F15"/>
    <w:rsid w:val="0088528F"/>
    <w:rsid w:val="0088647F"/>
    <w:rsid w:val="0088724F"/>
    <w:rsid w:val="00887450"/>
    <w:rsid w:val="0089004A"/>
    <w:rsid w:val="008904C9"/>
    <w:rsid w:val="0089052B"/>
    <w:rsid w:val="00891A13"/>
    <w:rsid w:val="00892000"/>
    <w:rsid w:val="0089223A"/>
    <w:rsid w:val="00892C3F"/>
    <w:rsid w:val="00892FD3"/>
    <w:rsid w:val="00893013"/>
    <w:rsid w:val="00894533"/>
    <w:rsid w:val="00894790"/>
    <w:rsid w:val="00894AD5"/>
    <w:rsid w:val="00895E00"/>
    <w:rsid w:val="008964D9"/>
    <w:rsid w:val="00896930"/>
    <w:rsid w:val="00896CA0"/>
    <w:rsid w:val="008A037D"/>
    <w:rsid w:val="008A0B35"/>
    <w:rsid w:val="008A0FF6"/>
    <w:rsid w:val="008A1F99"/>
    <w:rsid w:val="008A226E"/>
    <w:rsid w:val="008A587D"/>
    <w:rsid w:val="008A5EA0"/>
    <w:rsid w:val="008A6B3D"/>
    <w:rsid w:val="008B04C6"/>
    <w:rsid w:val="008B0D14"/>
    <w:rsid w:val="008B297C"/>
    <w:rsid w:val="008B2EA3"/>
    <w:rsid w:val="008B3683"/>
    <w:rsid w:val="008B3AE3"/>
    <w:rsid w:val="008B67D2"/>
    <w:rsid w:val="008B6AEF"/>
    <w:rsid w:val="008B6D50"/>
    <w:rsid w:val="008C0084"/>
    <w:rsid w:val="008C05C6"/>
    <w:rsid w:val="008C1022"/>
    <w:rsid w:val="008C10FA"/>
    <w:rsid w:val="008C2B4F"/>
    <w:rsid w:val="008C2B7A"/>
    <w:rsid w:val="008C448F"/>
    <w:rsid w:val="008C61FE"/>
    <w:rsid w:val="008C6C76"/>
    <w:rsid w:val="008C6CA5"/>
    <w:rsid w:val="008C7CD0"/>
    <w:rsid w:val="008D0544"/>
    <w:rsid w:val="008D05B3"/>
    <w:rsid w:val="008D065D"/>
    <w:rsid w:val="008D0F08"/>
    <w:rsid w:val="008D1D35"/>
    <w:rsid w:val="008D1D40"/>
    <w:rsid w:val="008D269B"/>
    <w:rsid w:val="008D4C8C"/>
    <w:rsid w:val="008D52ED"/>
    <w:rsid w:val="008D70DC"/>
    <w:rsid w:val="008D777D"/>
    <w:rsid w:val="008D7B4C"/>
    <w:rsid w:val="008D7BC0"/>
    <w:rsid w:val="008E48B2"/>
    <w:rsid w:val="008E5D14"/>
    <w:rsid w:val="008E71D9"/>
    <w:rsid w:val="008F0380"/>
    <w:rsid w:val="008F0F0A"/>
    <w:rsid w:val="008F14F1"/>
    <w:rsid w:val="008F3004"/>
    <w:rsid w:val="008F40B0"/>
    <w:rsid w:val="008F43F2"/>
    <w:rsid w:val="008F4A84"/>
    <w:rsid w:val="008F5CEA"/>
    <w:rsid w:val="008F67CC"/>
    <w:rsid w:val="008F68C0"/>
    <w:rsid w:val="008F6DB7"/>
    <w:rsid w:val="008F78F9"/>
    <w:rsid w:val="009018E0"/>
    <w:rsid w:val="00901A37"/>
    <w:rsid w:val="00902BB8"/>
    <w:rsid w:val="00903626"/>
    <w:rsid w:val="00904261"/>
    <w:rsid w:val="00904D30"/>
    <w:rsid w:val="00906272"/>
    <w:rsid w:val="009075E2"/>
    <w:rsid w:val="00907E27"/>
    <w:rsid w:val="00910023"/>
    <w:rsid w:val="009119D9"/>
    <w:rsid w:val="009126A2"/>
    <w:rsid w:val="00912F41"/>
    <w:rsid w:val="0091309D"/>
    <w:rsid w:val="0091332A"/>
    <w:rsid w:val="00914A71"/>
    <w:rsid w:val="00914BF8"/>
    <w:rsid w:val="00915100"/>
    <w:rsid w:val="009165A3"/>
    <w:rsid w:val="00916F95"/>
    <w:rsid w:val="00917B73"/>
    <w:rsid w:val="009208C4"/>
    <w:rsid w:val="00920A60"/>
    <w:rsid w:val="009223E9"/>
    <w:rsid w:val="0092332B"/>
    <w:rsid w:val="009250F5"/>
    <w:rsid w:val="0092518A"/>
    <w:rsid w:val="009260D0"/>
    <w:rsid w:val="00926113"/>
    <w:rsid w:val="00926CB8"/>
    <w:rsid w:val="0093045E"/>
    <w:rsid w:val="00931334"/>
    <w:rsid w:val="00933071"/>
    <w:rsid w:val="0093312E"/>
    <w:rsid w:val="009341CB"/>
    <w:rsid w:val="00934AA1"/>
    <w:rsid w:val="00934CB5"/>
    <w:rsid w:val="00934DF5"/>
    <w:rsid w:val="009372C2"/>
    <w:rsid w:val="00937317"/>
    <w:rsid w:val="0093744C"/>
    <w:rsid w:val="0093765D"/>
    <w:rsid w:val="0094055E"/>
    <w:rsid w:val="009434F9"/>
    <w:rsid w:val="009444B2"/>
    <w:rsid w:val="0094463C"/>
    <w:rsid w:val="0094710A"/>
    <w:rsid w:val="0094773A"/>
    <w:rsid w:val="00950D8F"/>
    <w:rsid w:val="0095490E"/>
    <w:rsid w:val="00954B38"/>
    <w:rsid w:val="0095518F"/>
    <w:rsid w:val="0095638B"/>
    <w:rsid w:val="009569BE"/>
    <w:rsid w:val="00957709"/>
    <w:rsid w:val="0096004C"/>
    <w:rsid w:val="00960628"/>
    <w:rsid w:val="00961203"/>
    <w:rsid w:val="009612DE"/>
    <w:rsid w:val="00962D48"/>
    <w:rsid w:val="00962DF4"/>
    <w:rsid w:val="00963CA8"/>
    <w:rsid w:val="00964209"/>
    <w:rsid w:val="0096490B"/>
    <w:rsid w:val="00964A36"/>
    <w:rsid w:val="00964D62"/>
    <w:rsid w:val="0096568A"/>
    <w:rsid w:val="00965BF7"/>
    <w:rsid w:val="00967DA5"/>
    <w:rsid w:val="00971405"/>
    <w:rsid w:val="00971904"/>
    <w:rsid w:val="00971B0E"/>
    <w:rsid w:val="00971BCA"/>
    <w:rsid w:val="009731E0"/>
    <w:rsid w:val="00973447"/>
    <w:rsid w:val="00974850"/>
    <w:rsid w:val="00976491"/>
    <w:rsid w:val="0098011B"/>
    <w:rsid w:val="009804CC"/>
    <w:rsid w:val="00980890"/>
    <w:rsid w:val="00980C0B"/>
    <w:rsid w:val="00981148"/>
    <w:rsid w:val="009813E5"/>
    <w:rsid w:val="00981EFC"/>
    <w:rsid w:val="009832A2"/>
    <w:rsid w:val="00986242"/>
    <w:rsid w:val="009865A3"/>
    <w:rsid w:val="009879CA"/>
    <w:rsid w:val="00991968"/>
    <w:rsid w:val="0099760B"/>
    <w:rsid w:val="009A09E6"/>
    <w:rsid w:val="009A1E74"/>
    <w:rsid w:val="009A2C1A"/>
    <w:rsid w:val="009A4020"/>
    <w:rsid w:val="009A442C"/>
    <w:rsid w:val="009A577A"/>
    <w:rsid w:val="009A59AD"/>
    <w:rsid w:val="009A6261"/>
    <w:rsid w:val="009A6A20"/>
    <w:rsid w:val="009A7885"/>
    <w:rsid w:val="009A7E33"/>
    <w:rsid w:val="009B20B3"/>
    <w:rsid w:val="009B2DE3"/>
    <w:rsid w:val="009B3473"/>
    <w:rsid w:val="009B34C8"/>
    <w:rsid w:val="009B4143"/>
    <w:rsid w:val="009B4A2C"/>
    <w:rsid w:val="009B4CB1"/>
    <w:rsid w:val="009C1B36"/>
    <w:rsid w:val="009C2605"/>
    <w:rsid w:val="009C2821"/>
    <w:rsid w:val="009C391E"/>
    <w:rsid w:val="009C3E50"/>
    <w:rsid w:val="009C408F"/>
    <w:rsid w:val="009C4CF3"/>
    <w:rsid w:val="009C5DF0"/>
    <w:rsid w:val="009C6AE1"/>
    <w:rsid w:val="009C71F7"/>
    <w:rsid w:val="009C7E4F"/>
    <w:rsid w:val="009D0C38"/>
    <w:rsid w:val="009D0D2C"/>
    <w:rsid w:val="009D125C"/>
    <w:rsid w:val="009D26CA"/>
    <w:rsid w:val="009D2855"/>
    <w:rsid w:val="009D2E93"/>
    <w:rsid w:val="009D324C"/>
    <w:rsid w:val="009D346B"/>
    <w:rsid w:val="009D35AA"/>
    <w:rsid w:val="009D4100"/>
    <w:rsid w:val="009D46C9"/>
    <w:rsid w:val="009D4C33"/>
    <w:rsid w:val="009D4E21"/>
    <w:rsid w:val="009D4F21"/>
    <w:rsid w:val="009D6FA4"/>
    <w:rsid w:val="009E019D"/>
    <w:rsid w:val="009E0450"/>
    <w:rsid w:val="009E2688"/>
    <w:rsid w:val="009E44B9"/>
    <w:rsid w:val="009E4A21"/>
    <w:rsid w:val="009E4D36"/>
    <w:rsid w:val="009E4F27"/>
    <w:rsid w:val="009E514D"/>
    <w:rsid w:val="009E5187"/>
    <w:rsid w:val="009E5E29"/>
    <w:rsid w:val="009E74DC"/>
    <w:rsid w:val="009E7FFD"/>
    <w:rsid w:val="009F0116"/>
    <w:rsid w:val="009F20A6"/>
    <w:rsid w:val="009F2940"/>
    <w:rsid w:val="009F43E4"/>
    <w:rsid w:val="009F6373"/>
    <w:rsid w:val="009F6FE6"/>
    <w:rsid w:val="009F78E8"/>
    <w:rsid w:val="00A01F54"/>
    <w:rsid w:val="00A020DB"/>
    <w:rsid w:val="00A022DA"/>
    <w:rsid w:val="00A05015"/>
    <w:rsid w:val="00A11126"/>
    <w:rsid w:val="00A12857"/>
    <w:rsid w:val="00A143C4"/>
    <w:rsid w:val="00A14502"/>
    <w:rsid w:val="00A150ED"/>
    <w:rsid w:val="00A15600"/>
    <w:rsid w:val="00A16493"/>
    <w:rsid w:val="00A20DC7"/>
    <w:rsid w:val="00A20FCA"/>
    <w:rsid w:val="00A2515C"/>
    <w:rsid w:val="00A256CA"/>
    <w:rsid w:val="00A26E77"/>
    <w:rsid w:val="00A27045"/>
    <w:rsid w:val="00A27E7E"/>
    <w:rsid w:val="00A27ED1"/>
    <w:rsid w:val="00A31971"/>
    <w:rsid w:val="00A31D77"/>
    <w:rsid w:val="00A35723"/>
    <w:rsid w:val="00A35E22"/>
    <w:rsid w:val="00A3798A"/>
    <w:rsid w:val="00A40547"/>
    <w:rsid w:val="00A40E2B"/>
    <w:rsid w:val="00A41ACE"/>
    <w:rsid w:val="00A42144"/>
    <w:rsid w:val="00A4370A"/>
    <w:rsid w:val="00A438A1"/>
    <w:rsid w:val="00A43F0D"/>
    <w:rsid w:val="00A458F6"/>
    <w:rsid w:val="00A4713E"/>
    <w:rsid w:val="00A520D8"/>
    <w:rsid w:val="00A534FE"/>
    <w:rsid w:val="00A53A95"/>
    <w:rsid w:val="00A53E89"/>
    <w:rsid w:val="00A53F93"/>
    <w:rsid w:val="00A550C3"/>
    <w:rsid w:val="00A561EB"/>
    <w:rsid w:val="00A569A1"/>
    <w:rsid w:val="00A57E45"/>
    <w:rsid w:val="00A60453"/>
    <w:rsid w:val="00A61EB8"/>
    <w:rsid w:val="00A62322"/>
    <w:rsid w:val="00A6304E"/>
    <w:rsid w:val="00A63C24"/>
    <w:rsid w:val="00A6465D"/>
    <w:rsid w:val="00A646E1"/>
    <w:rsid w:val="00A64A0D"/>
    <w:rsid w:val="00A657CF"/>
    <w:rsid w:val="00A65DA2"/>
    <w:rsid w:val="00A66699"/>
    <w:rsid w:val="00A70679"/>
    <w:rsid w:val="00A71917"/>
    <w:rsid w:val="00A723E2"/>
    <w:rsid w:val="00A73CDE"/>
    <w:rsid w:val="00A74EAE"/>
    <w:rsid w:val="00A75C52"/>
    <w:rsid w:val="00A76171"/>
    <w:rsid w:val="00A76B50"/>
    <w:rsid w:val="00A77357"/>
    <w:rsid w:val="00A779D6"/>
    <w:rsid w:val="00A80053"/>
    <w:rsid w:val="00A8170B"/>
    <w:rsid w:val="00A81D7C"/>
    <w:rsid w:val="00A81D8A"/>
    <w:rsid w:val="00A8213F"/>
    <w:rsid w:val="00A822D7"/>
    <w:rsid w:val="00A82371"/>
    <w:rsid w:val="00A83723"/>
    <w:rsid w:val="00A85723"/>
    <w:rsid w:val="00A86158"/>
    <w:rsid w:val="00A868E2"/>
    <w:rsid w:val="00A86F6A"/>
    <w:rsid w:val="00A87FBA"/>
    <w:rsid w:val="00A9194D"/>
    <w:rsid w:val="00A91EC8"/>
    <w:rsid w:val="00A92750"/>
    <w:rsid w:val="00A92928"/>
    <w:rsid w:val="00A92960"/>
    <w:rsid w:val="00A92ABB"/>
    <w:rsid w:val="00A92DDA"/>
    <w:rsid w:val="00A9305F"/>
    <w:rsid w:val="00A93EB8"/>
    <w:rsid w:val="00A9750D"/>
    <w:rsid w:val="00A97D7E"/>
    <w:rsid w:val="00AA1015"/>
    <w:rsid w:val="00AA1341"/>
    <w:rsid w:val="00AA226C"/>
    <w:rsid w:val="00AA2670"/>
    <w:rsid w:val="00AA2939"/>
    <w:rsid w:val="00AA2BFD"/>
    <w:rsid w:val="00AA2DF6"/>
    <w:rsid w:val="00AA47D3"/>
    <w:rsid w:val="00AA523B"/>
    <w:rsid w:val="00AA56A9"/>
    <w:rsid w:val="00AA742A"/>
    <w:rsid w:val="00AA7F05"/>
    <w:rsid w:val="00AB24E9"/>
    <w:rsid w:val="00AB36B5"/>
    <w:rsid w:val="00AB36DA"/>
    <w:rsid w:val="00AB38C9"/>
    <w:rsid w:val="00AB39D3"/>
    <w:rsid w:val="00AB55C5"/>
    <w:rsid w:val="00AB7710"/>
    <w:rsid w:val="00AB7CA0"/>
    <w:rsid w:val="00AB7D38"/>
    <w:rsid w:val="00AC079B"/>
    <w:rsid w:val="00AC08DA"/>
    <w:rsid w:val="00AC1193"/>
    <w:rsid w:val="00AC1763"/>
    <w:rsid w:val="00AC5814"/>
    <w:rsid w:val="00AC7849"/>
    <w:rsid w:val="00AC7BDC"/>
    <w:rsid w:val="00AD1E2D"/>
    <w:rsid w:val="00AD2156"/>
    <w:rsid w:val="00AD2185"/>
    <w:rsid w:val="00AD3335"/>
    <w:rsid w:val="00AD33A3"/>
    <w:rsid w:val="00AD3804"/>
    <w:rsid w:val="00AD60F8"/>
    <w:rsid w:val="00AD6B79"/>
    <w:rsid w:val="00AD7361"/>
    <w:rsid w:val="00AD7E5B"/>
    <w:rsid w:val="00AE0497"/>
    <w:rsid w:val="00AE1F8F"/>
    <w:rsid w:val="00AE2698"/>
    <w:rsid w:val="00AE2B39"/>
    <w:rsid w:val="00AE32B7"/>
    <w:rsid w:val="00AE32C0"/>
    <w:rsid w:val="00AE3739"/>
    <w:rsid w:val="00AE3ADC"/>
    <w:rsid w:val="00AE4783"/>
    <w:rsid w:val="00AE6391"/>
    <w:rsid w:val="00AE6F37"/>
    <w:rsid w:val="00AE6F80"/>
    <w:rsid w:val="00AE7D81"/>
    <w:rsid w:val="00AF0066"/>
    <w:rsid w:val="00AF0A07"/>
    <w:rsid w:val="00AF14A7"/>
    <w:rsid w:val="00AF330F"/>
    <w:rsid w:val="00AF3F57"/>
    <w:rsid w:val="00AF405F"/>
    <w:rsid w:val="00AF58DE"/>
    <w:rsid w:val="00AF75B9"/>
    <w:rsid w:val="00AF7FAB"/>
    <w:rsid w:val="00B010F7"/>
    <w:rsid w:val="00B041DD"/>
    <w:rsid w:val="00B042BD"/>
    <w:rsid w:val="00B04DC1"/>
    <w:rsid w:val="00B04F73"/>
    <w:rsid w:val="00B06B77"/>
    <w:rsid w:val="00B06E47"/>
    <w:rsid w:val="00B107A3"/>
    <w:rsid w:val="00B10FF5"/>
    <w:rsid w:val="00B1233C"/>
    <w:rsid w:val="00B13A35"/>
    <w:rsid w:val="00B15ED5"/>
    <w:rsid w:val="00B15F54"/>
    <w:rsid w:val="00B16B95"/>
    <w:rsid w:val="00B16C57"/>
    <w:rsid w:val="00B173DD"/>
    <w:rsid w:val="00B17511"/>
    <w:rsid w:val="00B17FBD"/>
    <w:rsid w:val="00B2012D"/>
    <w:rsid w:val="00B203D5"/>
    <w:rsid w:val="00B21716"/>
    <w:rsid w:val="00B217DB"/>
    <w:rsid w:val="00B21896"/>
    <w:rsid w:val="00B21998"/>
    <w:rsid w:val="00B21A5B"/>
    <w:rsid w:val="00B21C20"/>
    <w:rsid w:val="00B2388B"/>
    <w:rsid w:val="00B243B1"/>
    <w:rsid w:val="00B2709B"/>
    <w:rsid w:val="00B305AF"/>
    <w:rsid w:val="00B30727"/>
    <w:rsid w:val="00B30767"/>
    <w:rsid w:val="00B30934"/>
    <w:rsid w:val="00B31E28"/>
    <w:rsid w:val="00B33896"/>
    <w:rsid w:val="00B351E5"/>
    <w:rsid w:val="00B35981"/>
    <w:rsid w:val="00B37042"/>
    <w:rsid w:val="00B37FA3"/>
    <w:rsid w:val="00B40BC6"/>
    <w:rsid w:val="00B41F9D"/>
    <w:rsid w:val="00B4243A"/>
    <w:rsid w:val="00B43FD1"/>
    <w:rsid w:val="00B45F1A"/>
    <w:rsid w:val="00B50D81"/>
    <w:rsid w:val="00B51A73"/>
    <w:rsid w:val="00B52233"/>
    <w:rsid w:val="00B52C40"/>
    <w:rsid w:val="00B53C8E"/>
    <w:rsid w:val="00B54420"/>
    <w:rsid w:val="00B54A63"/>
    <w:rsid w:val="00B54A6E"/>
    <w:rsid w:val="00B57CA3"/>
    <w:rsid w:val="00B60AD3"/>
    <w:rsid w:val="00B6159A"/>
    <w:rsid w:val="00B61CC4"/>
    <w:rsid w:val="00B6282F"/>
    <w:rsid w:val="00B62A3A"/>
    <w:rsid w:val="00B62E50"/>
    <w:rsid w:val="00B655E1"/>
    <w:rsid w:val="00B65CC8"/>
    <w:rsid w:val="00B6711A"/>
    <w:rsid w:val="00B709FE"/>
    <w:rsid w:val="00B723D8"/>
    <w:rsid w:val="00B727C4"/>
    <w:rsid w:val="00B7317E"/>
    <w:rsid w:val="00B73807"/>
    <w:rsid w:val="00B744BC"/>
    <w:rsid w:val="00B747CD"/>
    <w:rsid w:val="00B77E17"/>
    <w:rsid w:val="00B811F5"/>
    <w:rsid w:val="00B817E4"/>
    <w:rsid w:val="00B828CB"/>
    <w:rsid w:val="00B83548"/>
    <w:rsid w:val="00B83726"/>
    <w:rsid w:val="00B83ABC"/>
    <w:rsid w:val="00B83C79"/>
    <w:rsid w:val="00B843A8"/>
    <w:rsid w:val="00B85591"/>
    <w:rsid w:val="00B856D2"/>
    <w:rsid w:val="00B8623D"/>
    <w:rsid w:val="00B86AAF"/>
    <w:rsid w:val="00B9024F"/>
    <w:rsid w:val="00B91450"/>
    <w:rsid w:val="00B93737"/>
    <w:rsid w:val="00B9587E"/>
    <w:rsid w:val="00B95A1B"/>
    <w:rsid w:val="00B9600A"/>
    <w:rsid w:val="00B9619A"/>
    <w:rsid w:val="00B96842"/>
    <w:rsid w:val="00B969D6"/>
    <w:rsid w:val="00B97317"/>
    <w:rsid w:val="00B97FEB"/>
    <w:rsid w:val="00BA02A9"/>
    <w:rsid w:val="00BA05E3"/>
    <w:rsid w:val="00BA2CDB"/>
    <w:rsid w:val="00BA2F5D"/>
    <w:rsid w:val="00BA3330"/>
    <w:rsid w:val="00BA4600"/>
    <w:rsid w:val="00BA4BC6"/>
    <w:rsid w:val="00BA6722"/>
    <w:rsid w:val="00BA6FF3"/>
    <w:rsid w:val="00BA7A3C"/>
    <w:rsid w:val="00BB05DF"/>
    <w:rsid w:val="00BB0DB6"/>
    <w:rsid w:val="00BB1CC3"/>
    <w:rsid w:val="00BB20D8"/>
    <w:rsid w:val="00BB2CF6"/>
    <w:rsid w:val="00BB3466"/>
    <w:rsid w:val="00BB3729"/>
    <w:rsid w:val="00BB4EEB"/>
    <w:rsid w:val="00BB596E"/>
    <w:rsid w:val="00BB6AF0"/>
    <w:rsid w:val="00BB6DA5"/>
    <w:rsid w:val="00BB70AA"/>
    <w:rsid w:val="00BC161F"/>
    <w:rsid w:val="00BC2DA6"/>
    <w:rsid w:val="00BC69DA"/>
    <w:rsid w:val="00BC7A5B"/>
    <w:rsid w:val="00BD0C89"/>
    <w:rsid w:val="00BD11C4"/>
    <w:rsid w:val="00BD1844"/>
    <w:rsid w:val="00BD1FDE"/>
    <w:rsid w:val="00BD2695"/>
    <w:rsid w:val="00BD32F9"/>
    <w:rsid w:val="00BD3D08"/>
    <w:rsid w:val="00BD4A12"/>
    <w:rsid w:val="00BD7327"/>
    <w:rsid w:val="00BD73F1"/>
    <w:rsid w:val="00BD7EA4"/>
    <w:rsid w:val="00BE0359"/>
    <w:rsid w:val="00BE0D47"/>
    <w:rsid w:val="00BE0EEC"/>
    <w:rsid w:val="00BE198A"/>
    <w:rsid w:val="00BE1C67"/>
    <w:rsid w:val="00BE2B4E"/>
    <w:rsid w:val="00BE2E3A"/>
    <w:rsid w:val="00BE4C5F"/>
    <w:rsid w:val="00BE4F9D"/>
    <w:rsid w:val="00BE5058"/>
    <w:rsid w:val="00BE718E"/>
    <w:rsid w:val="00BF0413"/>
    <w:rsid w:val="00BF13C0"/>
    <w:rsid w:val="00BF1B6A"/>
    <w:rsid w:val="00BF2C54"/>
    <w:rsid w:val="00BF5AB6"/>
    <w:rsid w:val="00BF7440"/>
    <w:rsid w:val="00BF782F"/>
    <w:rsid w:val="00C00660"/>
    <w:rsid w:val="00C01343"/>
    <w:rsid w:val="00C01470"/>
    <w:rsid w:val="00C03DEF"/>
    <w:rsid w:val="00C04C53"/>
    <w:rsid w:val="00C065AA"/>
    <w:rsid w:val="00C06A4F"/>
    <w:rsid w:val="00C07853"/>
    <w:rsid w:val="00C105AE"/>
    <w:rsid w:val="00C145DD"/>
    <w:rsid w:val="00C15710"/>
    <w:rsid w:val="00C16E99"/>
    <w:rsid w:val="00C17079"/>
    <w:rsid w:val="00C17F73"/>
    <w:rsid w:val="00C209A3"/>
    <w:rsid w:val="00C2103F"/>
    <w:rsid w:val="00C2245B"/>
    <w:rsid w:val="00C2256B"/>
    <w:rsid w:val="00C22C67"/>
    <w:rsid w:val="00C267C6"/>
    <w:rsid w:val="00C3032C"/>
    <w:rsid w:val="00C31681"/>
    <w:rsid w:val="00C33AE9"/>
    <w:rsid w:val="00C36B26"/>
    <w:rsid w:val="00C37774"/>
    <w:rsid w:val="00C40CA7"/>
    <w:rsid w:val="00C40F02"/>
    <w:rsid w:val="00C4107C"/>
    <w:rsid w:val="00C414FF"/>
    <w:rsid w:val="00C41A7A"/>
    <w:rsid w:val="00C429FD"/>
    <w:rsid w:val="00C442CB"/>
    <w:rsid w:val="00C44DBD"/>
    <w:rsid w:val="00C46520"/>
    <w:rsid w:val="00C4676F"/>
    <w:rsid w:val="00C469EC"/>
    <w:rsid w:val="00C46FA0"/>
    <w:rsid w:val="00C47D9F"/>
    <w:rsid w:val="00C50F0C"/>
    <w:rsid w:val="00C5231F"/>
    <w:rsid w:val="00C53C48"/>
    <w:rsid w:val="00C54E62"/>
    <w:rsid w:val="00C5536A"/>
    <w:rsid w:val="00C60B0A"/>
    <w:rsid w:val="00C61078"/>
    <w:rsid w:val="00C6174B"/>
    <w:rsid w:val="00C626CE"/>
    <w:rsid w:val="00C62A65"/>
    <w:rsid w:val="00C62AD2"/>
    <w:rsid w:val="00C62DC8"/>
    <w:rsid w:val="00C63ED1"/>
    <w:rsid w:val="00C643B1"/>
    <w:rsid w:val="00C64812"/>
    <w:rsid w:val="00C65494"/>
    <w:rsid w:val="00C66089"/>
    <w:rsid w:val="00C661A7"/>
    <w:rsid w:val="00C66CC3"/>
    <w:rsid w:val="00C67509"/>
    <w:rsid w:val="00C70A9B"/>
    <w:rsid w:val="00C752A4"/>
    <w:rsid w:val="00C75EB4"/>
    <w:rsid w:val="00C7674B"/>
    <w:rsid w:val="00C76D39"/>
    <w:rsid w:val="00C77935"/>
    <w:rsid w:val="00C77AB7"/>
    <w:rsid w:val="00C8415B"/>
    <w:rsid w:val="00C84363"/>
    <w:rsid w:val="00C84424"/>
    <w:rsid w:val="00C84B8D"/>
    <w:rsid w:val="00C84D9A"/>
    <w:rsid w:val="00C86B3C"/>
    <w:rsid w:val="00C90428"/>
    <w:rsid w:val="00C91430"/>
    <w:rsid w:val="00C919C6"/>
    <w:rsid w:val="00C93FF9"/>
    <w:rsid w:val="00C94AB3"/>
    <w:rsid w:val="00C95199"/>
    <w:rsid w:val="00CA1AF7"/>
    <w:rsid w:val="00CA1EE4"/>
    <w:rsid w:val="00CA25DE"/>
    <w:rsid w:val="00CA3238"/>
    <w:rsid w:val="00CA3485"/>
    <w:rsid w:val="00CA368D"/>
    <w:rsid w:val="00CA3779"/>
    <w:rsid w:val="00CA4D46"/>
    <w:rsid w:val="00CA57E4"/>
    <w:rsid w:val="00CA5D7C"/>
    <w:rsid w:val="00CA5D80"/>
    <w:rsid w:val="00CA74D9"/>
    <w:rsid w:val="00CA7837"/>
    <w:rsid w:val="00CB09DD"/>
    <w:rsid w:val="00CB0C16"/>
    <w:rsid w:val="00CB1301"/>
    <w:rsid w:val="00CB324A"/>
    <w:rsid w:val="00CB5F11"/>
    <w:rsid w:val="00CB637F"/>
    <w:rsid w:val="00CB68E2"/>
    <w:rsid w:val="00CC0435"/>
    <w:rsid w:val="00CC10F5"/>
    <w:rsid w:val="00CC1AB7"/>
    <w:rsid w:val="00CC1E5B"/>
    <w:rsid w:val="00CC1F9F"/>
    <w:rsid w:val="00CC3AC3"/>
    <w:rsid w:val="00CC4951"/>
    <w:rsid w:val="00CC4FF5"/>
    <w:rsid w:val="00CC5A0B"/>
    <w:rsid w:val="00CC656D"/>
    <w:rsid w:val="00CC7B24"/>
    <w:rsid w:val="00CD042E"/>
    <w:rsid w:val="00CD1706"/>
    <w:rsid w:val="00CD45A4"/>
    <w:rsid w:val="00CD7126"/>
    <w:rsid w:val="00CD7542"/>
    <w:rsid w:val="00CD7EC6"/>
    <w:rsid w:val="00CE0883"/>
    <w:rsid w:val="00CE0DEC"/>
    <w:rsid w:val="00CE15D6"/>
    <w:rsid w:val="00CE2B00"/>
    <w:rsid w:val="00CE3F85"/>
    <w:rsid w:val="00CE5291"/>
    <w:rsid w:val="00CE693B"/>
    <w:rsid w:val="00CE6CF1"/>
    <w:rsid w:val="00CE716D"/>
    <w:rsid w:val="00CE7262"/>
    <w:rsid w:val="00CF00AA"/>
    <w:rsid w:val="00CF06CF"/>
    <w:rsid w:val="00CF160E"/>
    <w:rsid w:val="00CF201D"/>
    <w:rsid w:val="00CF3689"/>
    <w:rsid w:val="00CF53C2"/>
    <w:rsid w:val="00CF652C"/>
    <w:rsid w:val="00CF6F66"/>
    <w:rsid w:val="00D008F9"/>
    <w:rsid w:val="00D015BA"/>
    <w:rsid w:val="00D01EBA"/>
    <w:rsid w:val="00D02797"/>
    <w:rsid w:val="00D03CDC"/>
    <w:rsid w:val="00D0633B"/>
    <w:rsid w:val="00D06817"/>
    <w:rsid w:val="00D07245"/>
    <w:rsid w:val="00D07502"/>
    <w:rsid w:val="00D07E41"/>
    <w:rsid w:val="00D10482"/>
    <w:rsid w:val="00D108A6"/>
    <w:rsid w:val="00D113EB"/>
    <w:rsid w:val="00D1168A"/>
    <w:rsid w:val="00D1227C"/>
    <w:rsid w:val="00D129EE"/>
    <w:rsid w:val="00D1321E"/>
    <w:rsid w:val="00D13F7C"/>
    <w:rsid w:val="00D14990"/>
    <w:rsid w:val="00D17092"/>
    <w:rsid w:val="00D2072D"/>
    <w:rsid w:val="00D208A4"/>
    <w:rsid w:val="00D2213C"/>
    <w:rsid w:val="00D2315F"/>
    <w:rsid w:val="00D24A8D"/>
    <w:rsid w:val="00D3003E"/>
    <w:rsid w:val="00D30BE0"/>
    <w:rsid w:val="00D30F86"/>
    <w:rsid w:val="00D33242"/>
    <w:rsid w:val="00D34199"/>
    <w:rsid w:val="00D35596"/>
    <w:rsid w:val="00D35753"/>
    <w:rsid w:val="00D35E2E"/>
    <w:rsid w:val="00D37A30"/>
    <w:rsid w:val="00D40220"/>
    <w:rsid w:val="00D404FD"/>
    <w:rsid w:val="00D4125F"/>
    <w:rsid w:val="00D415BD"/>
    <w:rsid w:val="00D42EA7"/>
    <w:rsid w:val="00D431F8"/>
    <w:rsid w:val="00D4399D"/>
    <w:rsid w:val="00D47C96"/>
    <w:rsid w:val="00D502CC"/>
    <w:rsid w:val="00D506EC"/>
    <w:rsid w:val="00D51971"/>
    <w:rsid w:val="00D51BAD"/>
    <w:rsid w:val="00D51E51"/>
    <w:rsid w:val="00D52C16"/>
    <w:rsid w:val="00D5313C"/>
    <w:rsid w:val="00D532D8"/>
    <w:rsid w:val="00D54D42"/>
    <w:rsid w:val="00D54F6E"/>
    <w:rsid w:val="00D54FC3"/>
    <w:rsid w:val="00D55582"/>
    <w:rsid w:val="00D55B89"/>
    <w:rsid w:val="00D56249"/>
    <w:rsid w:val="00D571C5"/>
    <w:rsid w:val="00D61866"/>
    <w:rsid w:val="00D6211F"/>
    <w:rsid w:val="00D62ACB"/>
    <w:rsid w:val="00D62F98"/>
    <w:rsid w:val="00D63329"/>
    <w:rsid w:val="00D65783"/>
    <w:rsid w:val="00D669DE"/>
    <w:rsid w:val="00D67DB7"/>
    <w:rsid w:val="00D70223"/>
    <w:rsid w:val="00D7027D"/>
    <w:rsid w:val="00D70984"/>
    <w:rsid w:val="00D70DF5"/>
    <w:rsid w:val="00D712E5"/>
    <w:rsid w:val="00D71923"/>
    <w:rsid w:val="00D71E6D"/>
    <w:rsid w:val="00D737B2"/>
    <w:rsid w:val="00D748B9"/>
    <w:rsid w:val="00D74E5A"/>
    <w:rsid w:val="00D76058"/>
    <w:rsid w:val="00D77342"/>
    <w:rsid w:val="00D819B2"/>
    <w:rsid w:val="00D82C19"/>
    <w:rsid w:val="00D83F1E"/>
    <w:rsid w:val="00D8536F"/>
    <w:rsid w:val="00D85817"/>
    <w:rsid w:val="00D8684B"/>
    <w:rsid w:val="00D8711F"/>
    <w:rsid w:val="00D90595"/>
    <w:rsid w:val="00D9089D"/>
    <w:rsid w:val="00D9098E"/>
    <w:rsid w:val="00D91971"/>
    <w:rsid w:val="00D919B8"/>
    <w:rsid w:val="00D9386B"/>
    <w:rsid w:val="00D947BF"/>
    <w:rsid w:val="00D94991"/>
    <w:rsid w:val="00D950B1"/>
    <w:rsid w:val="00DA0350"/>
    <w:rsid w:val="00DA171D"/>
    <w:rsid w:val="00DA2314"/>
    <w:rsid w:val="00DA2B56"/>
    <w:rsid w:val="00DA3006"/>
    <w:rsid w:val="00DA567E"/>
    <w:rsid w:val="00DA6471"/>
    <w:rsid w:val="00DB27F1"/>
    <w:rsid w:val="00DB42D7"/>
    <w:rsid w:val="00DB5B14"/>
    <w:rsid w:val="00DB7A0B"/>
    <w:rsid w:val="00DC26CD"/>
    <w:rsid w:val="00DC6049"/>
    <w:rsid w:val="00DC65F9"/>
    <w:rsid w:val="00DC6732"/>
    <w:rsid w:val="00DC7092"/>
    <w:rsid w:val="00DC71FE"/>
    <w:rsid w:val="00DC7860"/>
    <w:rsid w:val="00DD15F1"/>
    <w:rsid w:val="00DD2944"/>
    <w:rsid w:val="00DD316F"/>
    <w:rsid w:val="00DD3D70"/>
    <w:rsid w:val="00DD4376"/>
    <w:rsid w:val="00DD47A9"/>
    <w:rsid w:val="00DD4E44"/>
    <w:rsid w:val="00DD50A2"/>
    <w:rsid w:val="00DD6442"/>
    <w:rsid w:val="00DD6C3F"/>
    <w:rsid w:val="00DE03CF"/>
    <w:rsid w:val="00DE067D"/>
    <w:rsid w:val="00DE148C"/>
    <w:rsid w:val="00DE3DFC"/>
    <w:rsid w:val="00DE424A"/>
    <w:rsid w:val="00DE430D"/>
    <w:rsid w:val="00DE49F1"/>
    <w:rsid w:val="00DE57F5"/>
    <w:rsid w:val="00DE73B6"/>
    <w:rsid w:val="00DE7A15"/>
    <w:rsid w:val="00DE7D0D"/>
    <w:rsid w:val="00DF05A1"/>
    <w:rsid w:val="00DF1F91"/>
    <w:rsid w:val="00DF2444"/>
    <w:rsid w:val="00DF2EE6"/>
    <w:rsid w:val="00DF3859"/>
    <w:rsid w:val="00DF47D4"/>
    <w:rsid w:val="00DF5F87"/>
    <w:rsid w:val="00DF5FE8"/>
    <w:rsid w:val="00DF6DCD"/>
    <w:rsid w:val="00E0202F"/>
    <w:rsid w:val="00E02ADA"/>
    <w:rsid w:val="00E02F73"/>
    <w:rsid w:val="00E03816"/>
    <w:rsid w:val="00E03CAB"/>
    <w:rsid w:val="00E04D00"/>
    <w:rsid w:val="00E0523F"/>
    <w:rsid w:val="00E056AD"/>
    <w:rsid w:val="00E05954"/>
    <w:rsid w:val="00E062CE"/>
    <w:rsid w:val="00E10B5A"/>
    <w:rsid w:val="00E1184B"/>
    <w:rsid w:val="00E132FB"/>
    <w:rsid w:val="00E1380F"/>
    <w:rsid w:val="00E138A0"/>
    <w:rsid w:val="00E13B5C"/>
    <w:rsid w:val="00E16377"/>
    <w:rsid w:val="00E16C5F"/>
    <w:rsid w:val="00E17E86"/>
    <w:rsid w:val="00E20474"/>
    <w:rsid w:val="00E22280"/>
    <w:rsid w:val="00E22623"/>
    <w:rsid w:val="00E22B60"/>
    <w:rsid w:val="00E24557"/>
    <w:rsid w:val="00E2584C"/>
    <w:rsid w:val="00E265CC"/>
    <w:rsid w:val="00E26F82"/>
    <w:rsid w:val="00E33C49"/>
    <w:rsid w:val="00E33F26"/>
    <w:rsid w:val="00E360F3"/>
    <w:rsid w:val="00E36446"/>
    <w:rsid w:val="00E410FB"/>
    <w:rsid w:val="00E41D19"/>
    <w:rsid w:val="00E42E25"/>
    <w:rsid w:val="00E44F3F"/>
    <w:rsid w:val="00E45913"/>
    <w:rsid w:val="00E459FF"/>
    <w:rsid w:val="00E45DB9"/>
    <w:rsid w:val="00E46973"/>
    <w:rsid w:val="00E46BE9"/>
    <w:rsid w:val="00E47849"/>
    <w:rsid w:val="00E4797F"/>
    <w:rsid w:val="00E47BA4"/>
    <w:rsid w:val="00E51013"/>
    <w:rsid w:val="00E5225B"/>
    <w:rsid w:val="00E537F4"/>
    <w:rsid w:val="00E53B1C"/>
    <w:rsid w:val="00E54999"/>
    <w:rsid w:val="00E54D3E"/>
    <w:rsid w:val="00E552D5"/>
    <w:rsid w:val="00E554D1"/>
    <w:rsid w:val="00E55D71"/>
    <w:rsid w:val="00E56EE1"/>
    <w:rsid w:val="00E60DF2"/>
    <w:rsid w:val="00E61921"/>
    <w:rsid w:val="00E6295F"/>
    <w:rsid w:val="00E6350B"/>
    <w:rsid w:val="00E67A86"/>
    <w:rsid w:val="00E72061"/>
    <w:rsid w:val="00E721E7"/>
    <w:rsid w:val="00E72FD2"/>
    <w:rsid w:val="00E733EC"/>
    <w:rsid w:val="00E73AAB"/>
    <w:rsid w:val="00E75BA8"/>
    <w:rsid w:val="00E766FC"/>
    <w:rsid w:val="00E804E9"/>
    <w:rsid w:val="00E80633"/>
    <w:rsid w:val="00E80B57"/>
    <w:rsid w:val="00E814D0"/>
    <w:rsid w:val="00E81AE7"/>
    <w:rsid w:val="00E81E00"/>
    <w:rsid w:val="00E82D2D"/>
    <w:rsid w:val="00E83E4A"/>
    <w:rsid w:val="00E84908"/>
    <w:rsid w:val="00E873CE"/>
    <w:rsid w:val="00E876F7"/>
    <w:rsid w:val="00E9066C"/>
    <w:rsid w:val="00E906BE"/>
    <w:rsid w:val="00E90868"/>
    <w:rsid w:val="00E9101A"/>
    <w:rsid w:val="00E9176C"/>
    <w:rsid w:val="00E92088"/>
    <w:rsid w:val="00E925B8"/>
    <w:rsid w:val="00E92C69"/>
    <w:rsid w:val="00E94AB2"/>
    <w:rsid w:val="00E950DC"/>
    <w:rsid w:val="00E957CD"/>
    <w:rsid w:val="00E9628A"/>
    <w:rsid w:val="00E96679"/>
    <w:rsid w:val="00E96A56"/>
    <w:rsid w:val="00E97AF0"/>
    <w:rsid w:val="00EA35A3"/>
    <w:rsid w:val="00EA4E14"/>
    <w:rsid w:val="00EA51E2"/>
    <w:rsid w:val="00EA60E6"/>
    <w:rsid w:val="00EA77B2"/>
    <w:rsid w:val="00EA7FF7"/>
    <w:rsid w:val="00EB1453"/>
    <w:rsid w:val="00EB33B7"/>
    <w:rsid w:val="00EB44D7"/>
    <w:rsid w:val="00EB624B"/>
    <w:rsid w:val="00EB6841"/>
    <w:rsid w:val="00EB6C5A"/>
    <w:rsid w:val="00EB7AC1"/>
    <w:rsid w:val="00EC245E"/>
    <w:rsid w:val="00EC263F"/>
    <w:rsid w:val="00EC5285"/>
    <w:rsid w:val="00EC5F58"/>
    <w:rsid w:val="00EC640C"/>
    <w:rsid w:val="00EC7637"/>
    <w:rsid w:val="00ED00B3"/>
    <w:rsid w:val="00ED0A47"/>
    <w:rsid w:val="00ED0AE0"/>
    <w:rsid w:val="00ED17CC"/>
    <w:rsid w:val="00ED25C5"/>
    <w:rsid w:val="00ED2844"/>
    <w:rsid w:val="00ED2C4E"/>
    <w:rsid w:val="00ED3585"/>
    <w:rsid w:val="00ED3587"/>
    <w:rsid w:val="00EE1565"/>
    <w:rsid w:val="00EE17A1"/>
    <w:rsid w:val="00EE538E"/>
    <w:rsid w:val="00EE6F54"/>
    <w:rsid w:val="00EE6FC1"/>
    <w:rsid w:val="00EF2F2E"/>
    <w:rsid w:val="00EF32FD"/>
    <w:rsid w:val="00EF3469"/>
    <w:rsid w:val="00EF49B0"/>
    <w:rsid w:val="00EF4F06"/>
    <w:rsid w:val="00EF5586"/>
    <w:rsid w:val="00EF6289"/>
    <w:rsid w:val="00EF73AC"/>
    <w:rsid w:val="00F00125"/>
    <w:rsid w:val="00F00490"/>
    <w:rsid w:val="00F00C42"/>
    <w:rsid w:val="00F01A09"/>
    <w:rsid w:val="00F02C36"/>
    <w:rsid w:val="00F03E43"/>
    <w:rsid w:val="00F0450F"/>
    <w:rsid w:val="00F04731"/>
    <w:rsid w:val="00F05030"/>
    <w:rsid w:val="00F06339"/>
    <w:rsid w:val="00F06E34"/>
    <w:rsid w:val="00F071AF"/>
    <w:rsid w:val="00F076E9"/>
    <w:rsid w:val="00F109CF"/>
    <w:rsid w:val="00F116F8"/>
    <w:rsid w:val="00F12210"/>
    <w:rsid w:val="00F122C7"/>
    <w:rsid w:val="00F129C8"/>
    <w:rsid w:val="00F12BBC"/>
    <w:rsid w:val="00F132C2"/>
    <w:rsid w:val="00F14223"/>
    <w:rsid w:val="00F1486B"/>
    <w:rsid w:val="00F15319"/>
    <w:rsid w:val="00F1595D"/>
    <w:rsid w:val="00F161C6"/>
    <w:rsid w:val="00F208DF"/>
    <w:rsid w:val="00F22971"/>
    <w:rsid w:val="00F22EEB"/>
    <w:rsid w:val="00F22FA8"/>
    <w:rsid w:val="00F2374F"/>
    <w:rsid w:val="00F2394F"/>
    <w:rsid w:val="00F24246"/>
    <w:rsid w:val="00F2509E"/>
    <w:rsid w:val="00F251BB"/>
    <w:rsid w:val="00F2538C"/>
    <w:rsid w:val="00F2559B"/>
    <w:rsid w:val="00F2792A"/>
    <w:rsid w:val="00F30020"/>
    <w:rsid w:val="00F30297"/>
    <w:rsid w:val="00F30D5C"/>
    <w:rsid w:val="00F30D9C"/>
    <w:rsid w:val="00F30DF1"/>
    <w:rsid w:val="00F31634"/>
    <w:rsid w:val="00F327BC"/>
    <w:rsid w:val="00F35951"/>
    <w:rsid w:val="00F364E7"/>
    <w:rsid w:val="00F376D1"/>
    <w:rsid w:val="00F412C0"/>
    <w:rsid w:val="00F42050"/>
    <w:rsid w:val="00F42BBB"/>
    <w:rsid w:val="00F43E2C"/>
    <w:rsid w:val="00F46C08"/>
    <w:rsid w:val="00F4721B"/>
    <w:rsid w:val="00F473C1"/>
    <w:rsid w:val="00F47E06"/>
    <w:rsid w:val="00F5044F"/>
    <w:rsid w:val="00F50A1B"/>
    <w:rsid w:val="00F52CFC"/>
    <w:rsid w:val="00F52DEA"/>
    <w:rsid w:val="00F5336D"/>
    <w:rsid w:val="00F53D54"/>
    <w:rsid w:val="00F546EF"/>
    <w:rsid w:val="00F55374"/>
    <w:rsid w:val="00F60EA7"/>
    <w:rsid w:val="00F6107A"/>
    <w:rsid w:val="00F6115A"/>
    <w:rsid w:val="00F61786"/>
    <w:rsid w:val="00F61958"/>
    <w:rsid w:val="00F61AA4"/>
    <w:rsid w:val="00F62DE3"/>
    <w:rsid w:val="00F6331B"/>
    <w:rsid w:val="00F63D95"/>
    <w:rsid w:val="00F65812"/>
    <w:rsid w:val="00F6640F"/>
    <w:rsid w:val="00F66661"/>
    <w:rsid w:val="00F66BC6"/>
    <w:rsid w:val="00F67F14"/>
    <w:rsid w:val="00F70F47"/>
    <w:rsid w:val="00F713D9"/>
    <w:rsid w:val="00F717B5"/>
    <w:rsid w:val="00F71E2F"/>
    <w:rsid w:val="00F7206C"/>
    <w:rsid w:val="00F720D5"/>
    <w:rsid w:val="00F72C7E"/>
    <w:rsid w:val="00F73B8F"/>
    <w:rsid w:val="00F74EB1"/>
    <w:rsid w:val="00F7605B"/>
    <w:rsid w:val="00F7621B"/>
    <w:rsid w:val="00F76F06"/>
    <w:rsid w:val="00F771B1"/>
    <w:rsid w:val="00F773A7"/>
    <w:rsid w:val="00F7792B"/>
    <w:rsid w:val="00F77A97"/>
    <w:rsid w:val="00F8148D"/>
    <w:rsid w:val="00F82A23"/>
    <w:rsid w:val="00F83031"/>
    <w:rsid w:val="00F851AF"/>
    <w:rsid w:val="00F8541D"/>
    <w:rsid w:val="00F86BF8"/>
    <w:rsid w:val="00F878CF"/>
    <w:rsid w:val="00F900C3"/>
    <w:rsid w:val="00F921CD"/>
    <w:rsid w:val="00F92735"/>
    <w:rsid w:val="00F92866"/>
    <w:rsid w:val="00F96073"/>
    <w:rsid w:val="00FA0023"/>
    <w:rsid w:val="00FA03B3"/>
    <w:rsid w:val="00FA05FE"/>
    <w:rsid w:val="00FA0890"/>
    <w:rsid w:val="00FA11A2"/>
    <w:rsid w:val="00FA2F77"/>
    <w:rsid w:val="00FA3E9F"/>
    <w:rsid w:val="00FA443E"/>
    <w:rsid w:val="00FA56DF"/>
    <w:rsid w:val="00FA5EAF"/>
    <w:rsid w:val="00FA6239"/>
    <w:rsid w:val="00FA65FC"/>
    <w:rsid w:val="00FA6B17"/>
    <w:rsid w:val="00FA6E9C"/>
    <w:rsid w:val="00FB02B9"/>
    <w:rsid w:val="00FB03A1"/>
    <w:rsid w:val="00FB13E6"/>
    <w:rsid w:val="00FB14CE"/>
    <w:rsid w:val="00FB2338"/>
    <w:rsid w:val="00FB23D2"/>
    <w:rsid w:val="00FB273D"/>
    <w:rsid w:val="00FB46B9"/>
    <w:rsid w:val="00FB5282"/>
    <w:rsid w:val="00FB5612"/>
    <w:rsid w:val="00FB69B1"/>
    <w:rsid w:val="00FB6DCC"/>
    <w:rsid w:val="00FB701E"/>
    <w:rsid w:val="00FB7A88"/>
    <w:rsid w:val="00FC08D9"/>
    <w:rsid w:val="00FC0942"/>
    <w:rsid w:val="00FC2F10"/>
    <w:rsid w:val="00FC3292"/>
    <w:rsid w:val="00FC4813"/>
    <w:rsid w:val="00FC6CA3"/>
    <w:rsid w:val="00FC7DFE"/>
    <w:rsid w:val="00FD017D"/>
    <w:rsid w:val="00FD09CA"/>
    <w:rsid w:val="00FD48F2"/>
    <w:rsid w:val="00FD4DAF"/>
    <w:rsid w:val="00FD694B"/>
    <w:rsid w:val="00FD69EB"/>
    <w:rsid w:val="00FE2D31"/>
    <w:rsid w:val="00FE3876"/>
    <w:rsid w:val="00FE3DB5"/>
    <w:rsid w:val="00FE520A"/>
    <w:rsid w:val="00FE52A9"/>
    <w:rsid w:val="00FE5539"/>
    <w:rsid w:val="00FE5FF6"/>
    <w:rsid w:val="00FE6383"/>
    <w:rsid w:val="00FE70DE"/>
    <w:rsid w:val="00FE7986"/>
    <w:rsid w:val="00FF11F9"/>
    <w:rsid w:val="00FF16BF"/>
    <w:rsid w:val="00FF2D35"/>
    <w:rsid w:val="00FF2FBF"/>
    <w:rsid w:val="00FF34E3"/>
    <w:rsid w:val="00FF40FB"/>
    <w:rsid w:val="00FF5899"/>
    <w:rsid w:val="00FF5D52"/>
    <w:rsid w:val="00FF7317"/>
    <w:rsid w:val="01DD17E1"/>
    <w:rsid w:val="02804C9C"/>
    <w:rsid w:val="03245FB5"/>
    <w:rsid w:val="03B85436"/>
    <w:rsid w:val="047B6B05"/>
    <w:rsid w:val="06274EB0"/>
    <w:rsid w:val="06531285"/>
    <w:rsid w:val="06BE17A6"/>
    <w:rsid w:val="06F95CAF"/>
    <w:rsid w:val="072152FE"/>
    <w:rsid w:val="0848371E"/>
    <w:rsid w:val="094D4581"/>
    <w:rsid w:val="09C265CB"/>
    <w:rsid w:val="09C677E3"/>
    <w:rsid w:val="0A1361F0"/>
    <w:rsid w:val="0A8F43BD"/>
    <w:rsid w:val="0AB97F32"/>
    <w:rsid w:val="0B9D690C"/>
    <w:rsid w:val="0BB73B32"/>
    <w:rsid w:val="0C2067B4"/>
    <w:rsid w:val="0DB053A7"/>
    <w:rsid w:val="0DDF14DE"/>
    <w:rsid w:val="0EC8176E"/>
    <w:rsid w:val="0FAA16D0"/>
    <w:rsid w:val="10BC6CD9"/>
    <w:rsid w:val="10C47399"/>
    <w:rsid w:val="11481036"/>
    <w:rsid w:val="118C5B3F"/>
    <w:rsid w:val="12050F49"/>
    <w:rsid w:val="12A54BFD"/>
    <w:rsid w:val="13164B15"/>
    <w:rsid w:val="131D6018"/>
    <w:rsid w:val="14436768"/>
    <w:rsid w:val="1466262E"/>
    <w:rsid w:val="14741044"/>
    <w:rsid w:val="14AB760F"/>
    <w:rsid w:val="16F207F0"/>
    <w:rsid w:val="17723B52"/>
    <w:rsid w:val="177567C7"/>
    <w:rsid w:val="1835347F"/>
    <w:rsid w:val="19A01858"/>
    <w:rsid w:val="19DD62EA"/>
    <w:rsid w:val="1A450E5F"/>
    <w:rsid w:val="1A8D4DA3"/>
    <w:rsid w:val="1AEE7FA5"/>
    <w:rsid w:val="1CE54477"/>
    <w:rsid w:val="1CE633A9"/>
    <w:rsid w:val="1D5F09F5"/>
    <w:rsid w:val="1F747601"/>
    <w:rsid w:val="1FEE7146"/>
    <w:rsid w:val="21DA2759"/>
    <w:rsid w:val="2299667B"/>
    <w:rsid w:val="23E90B1B"/>
    <w:rsid w:val="24461265"/>
    <w:rsid w:val="247F43F5"/>
    <w:rsid w:val="24814D3B"/>
    <w:rsid w:val="24994EF6"/>
    <w:rsid w:val="25350817"/>
    <w:rsid w:val="25364D96"/>
    <w:rsid w:val="256B676F"/>
    <w:rsid w:val="26D45643"/>
    <w:rsid w:val="2748647B"/>
    <w:rsid w:val="294C02F4"/>
    <w:rsid w:val="29581A38"/>
    <w:rsid w:val="29E27BC5"/>
    <w:rsid w:val="2AAA7AB4"/>
    <w:rsid w:val="2AE350C1"/>
    <w:rsid w:val="2B233C0C"/>
    <w:rsid w:val="2C40568E"/>
    <w:rsid w:val="2CDD3142"/>
    <w:rsid w:val="2DBE4796"/>
    <w:rsid w:val="2E951B76"/>
    <w:rsid w:val="2EF86F77"/>
    <w:rsid w:val="2F3A4A56"/>
    <w:rsid w:val="2FBF1DA0"/>
    <w:rsid w:val="301575EB"/>
    <w:rsid w:val="304B06F4"/>
    <w:rsid w:val="30810C58"/>
    <w:rsid w:val="30CB25AD"/>
    <w:rsid w:val="31A930ED"/>
    <w:rsid w:val="33B84AA7"/>
    <w:rsid w:val="36322562"/>
    <w:rsid w:val="363B352E"/>
    <w:rsid w:val="363B5FDB"/>
    <w:rsid w:val="38681655"/>
    <w:rsid w:val="38D6008D"/>
    <w:rsid w:val="39205E28"/>
    <w:rsid w:val="39334CE2"/>
    <w:rsid w:val="3B0A3AB5"/>
    <w:rsid w:val="3B5B4D72"/>
    <w:rsid w:val="3BE9754E"/>
    <w:rsid w:val="3C8F41DF"/>
    <w:rsid w:val="3CAC7BD5"/>
    <w:rsid w:val="3DF90716"/>
    <w:rsid w:val="3E3A5AE0"/>
    <w:rsid w:val="3E5D6A1F"/>
    <w:rsid w:val="3E6671FF"/>
    <w:rsid w:val="3EA661FC"/>
    <w:rsid w:val="3F2754C5"/>
    <w:rsid w:val="3FBB324A"/>
    <w:rsid w:val="4013380C"/>
    <w:rsid w:val="421313BD"/>
    <w:rsid w:val="4328644D"/>
    <w:rsid w:val="44D977F0"/>
    <w:rsid w:val="450927B6"/>
    <w:rsid w:val="455F7516"/>
    <w:rsid w:val="45806155"/>
    <w:rsid w:val="46D84ACE"/>
    <w:rsid w:val="48350108"/>
    <w:rsid w:val="485D30A5"/>
    <w:rsid w:val="48AA405B"/>
    <w:rsid w:val="48AD2DBB"/>
    <w:rsid w:val="49A95E80"/>
    <w:rsid w:val="4A252EA5"/>
    <w:rsid w:val="4B803241"/>
    <w:rsid w:val="4BCF1BB4"/>
    <w:rsid w:val="4C4568EB"/>
    <w:rsid w:val="4D9C08E1"/>
    <w:rsid w:val="4FE211A4"/>
    <w:rsid w:val="4FF36209"/>
    <w:rsid w:val="50417808"/>
    <w:rsid w:val="505F6CA4"/>
    <w:rsid w:val="52D962E0"/>
    <w:rsid w:val="532C73E4"/>
    <w:rsid w:val="53E145EC"/>
    <w:rsid w:val="53E24FC8"/>
    <w:rsid w:val="545C3030"/>
    <w:rsid w:val="552157F5"/>
    <w:rsid w:val="55321773"/>
    <w:rsid w:val="554E6744"/>
    <w:rsid w:val="5615357A"/>
    <w:rsid w:val="56466ADF"/>
    <w:rsid w:val="569B6352"/>
    <w:rsid w:val="57A6244B"/>
    <w:rsid w:val="5825111E"/>
    <w:rsid w:val="5847335C"/>
    <w:rsid w:val="58714726"/>
    <w:rsid w:val="58C14B04"/>
    <w:rsid w:val="59303BC2"/>
    <w:rsid w:val="5A950D8F"/>
    <w:rsid w:val="5B5248D4"/>
    <w:rsid w:val="5C673FCE"/>
    <w:rsid w:val="5C9F38BD"/>
    <w:rsid w:val="5CB06DDE"/>
    <w:rsid w:val="5CE71AB5"/>
    <w:rsid w:val="5D266399"/>
    <w:rsid w:val="5E7D61BA"/>
    <w:rsid w:val="5FB77BB3"/>
    <w:rsid w:val="603E7416"/>
    <w:rsid w:val="6050738C"/>
    <w:rsid w:val="60BD4A16"/>
    <w:rsid w:val="615B6CF9"/>
    <w:rsid w:val="619A2083"/>
    <w:rsid w:val="61F95E25"/>
    <w:rsid w:val="620702A6"/>
    <w:rsid w:val="6222190E"/>
    <w:rsid w:val="62BE328B"/>
    <w:rsid w:val="63B64BB1"/>
    <w:rsid w:val="63D72346"/>
    <w:rsid w:val="64B64BCD"/>
    <w:rsid w:val="64BC6219"/>
    <w:rsid w:val="65D6204D"/>
    <w:rsid w:val="663D1590"/>
    <w:rsid w:val="66D214B8"/>
    <w:rsid w:val="67A277C8"/>
    <w:rsid w:val="68220CAB"/>
    <w:rsid w:val="68E37883"/>
    <w:rsid w:val="69A8365F"/>
    <w:rsid w:val="6A6F34AD"/>
    <w:rsid w:val="6A7E484D"/>
    <w:rsid w:val="6B2C43FB"/>
    <w:rsid w:val="6B443C06"/>
    <w:rsid w:val="6B884C02"/>
    <w:rsid w:val="6CDC64BF"/>
    <w:rsid w:val="6D706151"/>
    <w:rsid w:val="6EE87D66"/>
    <w:rsid w:val="6F322D93"/>
    <w:rsid w:val="6F3762E2"/>
    <w:rsid w:val="6FBF55F4"/>
    <w:rsid w:val="720B441A"/>
    <w:rsid w:val="7275502A"/>
    <w:rsid w:val="736A039A"/>
    <w:rsid w:val="73A02B37"/>
    <w:rsid w:val="73E74231"/>
    <w:rsid w:val="745A7A29"/>
    <w:rsid w:val="75980D66"/>
    <w:rsid w:val="763C433C"/>
    <w:rsid w:val="77BB1485"/>
    <w:rsid w:val="77EA5DC6"/>
    <w:rsid w:val="79AC3609"/>
    <w:rsid w:val="79DA04E9"/>
    <w:rsid w:val="7A126941"/>
    <w:rsid w:val="7A7F4C55"/>
    <w:rsid w:val="7AB525F1"/>
    <w:rsid w:val="7AE47957"/>
    <w:rsid w:val="7CA14108"/>
    <w:rsid w:val="7CFE5BE0"/>
    <w:rsid w:val="7D7B45AA"/>
    <w:rsid w:val="7E947D73"/>
    <w:rsid w:val="7EBB099E"/>
    <w:rsid w:val="7EC90D51"/>
    <w:rsid w:val="7F2F1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5"/>
    <w:qFormat/>
    <w:uiPriority w:val="0"/>
    <w:pPr>
      <w:keepNext/>
      <w:keepLines/>
      <w:spacing w:before="340" w:after="330"/>
      <w:jc w:val="center"/>
      <w:outlineLvl w:val="0"/>
    </w:pPr>
    <w:rPr>
      <w:rFonts w:ascii="Calibri" w:hAnsi="Calibri"/>
      <w:b/>
      <w:kern w:val="44"/>
      <w:sz w:val="44"/>
    </w:rPr>
  </w:style>
  <w:style w:type="paragraph" w:styleId="3">
    <w:name w:val="heading 2"/>
    <w:basedOn w:val="1"/>
    <w:next w:val="1"/>
    <w:qFormat/>
    <w:uiPriority w:val="0"/>
    <w:pPr>
      <w:keepNext/>
      <w:keepLines/>
      <w:jc w:val="center"/>
      <w:outlineLvl w:val="1"/>
    </w:pPr>
    <w:rPr>
      <w:rFonts w:ascii="Arial" w:hAnsi="Arial" w:eastAsia="黑体"/>
      <w:b/>
      <w:sz w:val="30"/>
    </w:rPr>
  </w:style>
  <w:style w:type="paragraph" w:styleId="4">
    <w:name w:val="heading 3"/>
    <w:basedOn w:val="1"/>
    <w:next w:val="1"/>
    <w:qFormat/>
    <w:uiPriority w:val="0"/>
    <w:pPr>
      <w:numPr>
        <w:ilvl w:val="0"/>
        <w:numId w:val="1"/>
      </w:numPr>
      <w:spacing w:line="360" w:lineRule="auto"/>
      <w:outlineLvl w:val="2"/>
    </w:pPr>
    <w:rPr>
      <w:bCs/>
      <w:sz w:val="24"/>
      <w:szCs w:val="21"/>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qFormat/>
    <w:uiPriority w:val="0"/>
    <w:pPr>
      <w:jc w:val="left"/>
    </w:pPr>
    <w:rPr>
      <w:rFonts w:ascii="宋体" w:hAnsi="宋体"/>
      <w:szCs w:val="24"/>
    </w:rPr>
  </w:style>
  <w:style w:type="paragraph" w:styleId="6">
    <w:name w:val="Body Text"/>
    <w:basedOn w:val="1"/>
    <w:qFormat/>
    <w:uiPriority w:val="0"/>
    <w:pPr>
      <w:spacing w:line="800" w:lineRule="exact"/>
    </w:pPr>
    <w:rPr>
      <w:rFonts w:ascii="仿宋_GB2312" w:eastAsia="仿宋_GB2312"/>
      <w:sz w:val="24"/>
    </w:rPr>
  </w:style>
  <w:style w:type="paragraph" w:styleId="7">
    <w:name w:val="Body Text Indent"/>
    <w:basedOn w:val="1"/>
    <w:qFormat/>
    <w:uiPriority w:val="0"/>
    <w:pPr>
      <w:spacing w:line="500" w:lineRule="exact"/>
      <w:ind w:firstLine="510"/>
    </w:pPr>
    <w:rPr>
      <w:rFonts w:ascii="仿宋_GB2312" w:eastAsia="仿宋_GB2312"/>
      <w:sz w:val="24"/>
    </w:rPr>
  </w:style>
  <w:style w:type="paragraph" w:styleId="8">
    <w:name w:val="Plain Text"/>
    <w:basedOn w:val="1"/>
    <w:qFormat/>
    <w:uiPriority w:val="0"/>
    <w:pPr>
      <w:widowControl/>
      <w:spacing w:before="100" w:beforeAutospacing="1" w:after="100" w:afterAutospacing="1"/>
      <w:jc w:val="left"/>
    </w:pPr>
    <w:rPr>
      <w:rFonts w:ascii="Arial Unicode MS" w:hAnsi="Arial Unicode MS"/>
      <w:kern w:val="0"/>
      <w:sz w:val="24"/>
      <w:szCs w:val="24"/>
    </w:rPr>
  </w:style>
  <w:style w:type="paragraph" w:styleId="9">
    <w:name w:val="Date"/>
    <w:basedOn w:val="1"/>
    <w:next w:val="1"/>
    <w:qFormat/>
    <w:uiPriority w:val="0"/>
    <w:pPr>
      <w:ind w:left="100" w:leftChars="2500"/>
    </w:pPr>
    <w:rPr>
      <w:szCs w:val="24"/>
    </w:rPr>
  </w:style>
  <w:style w:type="paragraph" w:styleId="10">
    <w:name w:val="Body Text Indent 2"/>
    <w:basedOn w:val="1"/>
    <w:qFormat/>
    <w:uiPriority w:val="0"/>
    <w:pPr>
      <w:spacing w:line="560" w:lineRule="exact"/>
      <w:ind w:firstLine="570"/>
    </w:pPr>
    <w:rPr>
      <w:rFonts w:ascii="宋体"/>
      <w:sz w:val="24"/>
    </w:rPr>
  </w:style>
  <w:style w:type="paragraph" w:styleId="11">
    <w:name w:val="Balloon Text"/>
    <w:basedOn w:val="1"/>
    <w:qFormat/>
    <w:uiPriority w:val="0"/>
    <w:rPr>
      <w:rFonts w:ascii="宋体" w:hAnsi="宋体"/>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Body Text Indent 3"/>
    <w:basedOn w:val="1"/>
    <w:qFormat/>
    <w:uiPriority w:val="0"/>
    <w:pPr>
      <w:spacing w:line="560" w:lineRule="exact"/>
      <w:ind w:firstLine="573"/>
    </w:pPr>
    <w:rPr>
      <w:rFonts w:ascii="宋体"/>
      <w:sz w:val="24"/>
    </w:rPr>
  </w:style>
  <w:style w:type="paragraph" w:styleId="16">
    <w:name w:val="toc 2"/>
    <w:basedOn w:val="1"/>
    <w:next w:val="1"/>
    <w:qFormat/>
    <w:uiPriority w:val="0"/>
    <w:pPr>
      <w:ind w:left="420" w:leftChars="200"/>
    </w:pPr>
  </w:style>
  <w:style w:type="paragraph" w:styleId="17">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8">
    <w:name w:val="annotation subject"/>
    <w:basedOn w:val="5"/>
    <w:next w:val="5"/>
    <w:qFormat/>
    <w:uiPriority w:val="0"/>
    <w:rPr>
      <w:b/>
      <w:bCs/>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0"/>
    <w:rPr>
      <w:b/>
      <w:bCs/>
    </w:rPr>
  </w:style>
  <w:style w:type="character" w:styleId="23">
    <w:name w:val="page number"/>
    <w:basedOn w:val="21"/>
    <w:qFormat/>
    <w:uiPriority w:val="0"/>
  </w:style>
  <w:style w:type="character" w:styleId="24">
    <w:name w:val="FollowedHyperlink"/>
    <w:qFormat/>
    <w:uiPriority w:val="0"/>
    <w:rPr>
      <w:color w:val="800080"/>
      <w:u w:val="none"/>
    </w:rPr>
  </w:style>
  <w:style w:type="character" w:styleId="25">
    <w:name w:val="Emphasis"/>
    <w:qFormat/>
    <w:uiPriority w:val="0"/>
  </w:style>
  <w:style w:type="character" w:styleId="26">
    <w:name w:val="Hyperlink"/>
    <w:qFormat/>
    <w:uiPriority w:val="0"/>
    <w:rPr>
      <w:color w:val="0000FF"/>
      <w:u w:val="none"/>
    </w:rPr>
  </w:style>
  <w:style w:type="paragraph" w:customStyle="1" w:styleId="27">
    <w:name w:val="p0"/>
    <w:basedOn w:val="1"/>
    <w:qFormat/>
    <w:uiPriority w:val="0"/>
    <w:pPr>
      <w:widowControl/>
    </w:pPr>
    <w:rPr>
      <w:kern w:val="0"/>
      <w:szCs w:val="21"/>
    </w:rPr>
  </w:style>
  <w:style w:type="paragraph" w:customStyle="1" w:styleId="28">
    <w:name w:val="xl31"/>
    <w:basedOn w:val="1"/>
    <w:qFormat/>
    <w:uiPriority w:val="0"/>
    <w:pPr>
      <w:widowControl/>
      <w:pBdr>
        <w:bottom w:val="single" w:color="auto" w:sz="4" w:space="0"/>
      </w:pBdr>
      <w:spacing w:before="100" w:beforeAutospacing="1" w:after="100" w:afterAutospacing="1"/>
      <w:jc w:val="center"/>
    </w:pPr>
    <w:rPr>
      <w:rFonts w:hint="eastAsia" w:ascii="黑体" w:hAnsi="宋体" w:eastAsia="黑体"/>
      <w:kern w:val="0"/>
      <w:sz w:val="24"/>
      <w:szCs w:val="24"/>
    </w:rPr>
  </w:style>
  <w:style w:type="paragraph" w:customStyle="1" w:styleId="29">
    <w:name w:val="样式 标题 3 + 段前: 7.8 磅"/>
    <w:basedOn w:val="4"/>
    <w:qFormat/>
    <w:uiPriority w:val="0"/>
    <w:pPr>
      <w:spacing w:before="156"/>
    </w:pPr>
    <w:rPr>
      <w:rFonts w:cs="宋体"/>
      <w:bCs w:val="0"/>
      <w:szCs w:val="20"/>
    </w:rPr>
  </w:style>
  <w:style w:type="paragraph" w:customStyle="1" w:styleId="30">
    <w:name w:val="_Style 2"/>
    <w:basedOn w:val="1"/>
    <w:qFormat/>
    <w:uiPriority w:val="0"/>
    <w:rPr>
      <w:rFonts w:ascii="Tahoma" w:hAnsi="Tahoma"/>
      <w:sz w:val="24"/>
    </w:rPr>
  </w:style>
  <w:style w:type="character" w:customStyle="1" w:styleId="31">
    <w:name w:val="Char Char"/>
    <w:qFormat/>
    <w:locked/>
    <w:uiPriority w:val="0"/>
    <w:rPr>
      <w:rFonts w:ascii="宋体" w:hAnsi="宋体" w:eastAsia="宋体"/>
      <w:kern w:val="2"/>
      <w:sz w:val="18"/>
      <w:szCs w:val="18"/>
      <w:lang w:val="en-US" w:eastAsia="zh-CN" w:bidi="ar-SA"/>
    </w:rPr>
  </w:style>
  <w:style w:type="character" w:customStyle="1" w:styleId="32">
    <w:name w:val="Char Char1"/>
    <w:qFormat/>
    <w:locked/>
    <w:uiPriority w:val="0"/>
    <w:rPr>
      <w:rFonts w:ascii="宋体" w:hAnsi="宋体" w:eastAsia="宋体"/>
      <w:b/>
      <w:bCs/>
      <w:kern w:val="2"/>
      <w:sz w:val="21"/>
      <w:szCs w:val="24"/>
      <w:lang w:val="en-US" w:eastAsia="zh-CN" w:bidi="ar-SA"/>
    </w:rPr>
  </w:style>
  <w:style w:type="character" w:customStyle="1" w:styleId="33">
    <w:name w:val="Char Char2"/>
    <w:qFormat/>
    <w:locked/>
    <w:uiPriority w:val="0"/>
    <w:rPr>
      <w:rFonts w:ascii="宋体" w:hAnsi="宋体" w:eastAsia="宋体"/>
      <w:kern w:val="2"/>
      <w:sz w:val="21"/>
      <w:szCs w:val="24"/>
      <w:lang w:val="en-US" w:eastAsia="zh-CN" w:bidi="ar-SA"/>
    </w:rPr>
  </w:style>
  <w:style w:type="character" w:customStyle="1" w:styleId="34">
    <w:name w:val="Char Char21"/>
    <w:qFormat/>
    <w:uiPriority w:val="0"/>
    <w:rPr>
      <w:rFonts w:ascii="宋体" w:hAnsi="宋体" w:eastAsia="宋体"/>
      <w:kern w:val="2"/>
      <w:sz w:val="21"/>
      <w:szCs w:val="24"/>
      <w:lang w:val="en-US" w:eastAsia="zh-CN" w:bidi="ar-SA"/>
    </w:rPr>
  </w:style>
  <w:style w:type="character" w:customStyle="1" w:styleId="35">
    <w:name w:val="标题 1 Char"/>
    <w:link w:val="2"/>
    <w:qFormat/>
    <w:uiPriority w:val="0"/>
    <w:rPr>
      <w:rFonts w:ascii="Calibri" w:hAnsi="Calibri" w:eastAsia="宋体"/>
      <w:b/>
      <w:kern w:val="44"/>
      <w:sz w:val="44"/>
    </w:rPr>
  </w:style>
  <w:style w:type="character" w:customStyle="1" w:styleId="36">
    <w:name w:val="Char Char3"/>
    <w:qFormat/>
    <w:locked/>
    <w:uiPriority w:val="0"/>
    <w:rPr>
      <w:rFonts w:ascii="宋体" w:hAnsi="宋体" w:eastAsia="宋体"/>
      <w:kern w:val="2"/>
      <w:sz w:val="18"/>
      <w:szCs w:val="18"/>
      <w:lang w:val="en-US" w:eastAsia="zh-CN" w:bidi="ar-SA"/>
    </w:rPr>
  </w:style>
  <w:style w:type="character" w:customStyle="1" w:styleId="37">
    <w:name w:val="Char Char4"/>
    <w:qFormat/>
    <w:locked/>
    <w:uiPriority w:val="0"/>
    <w:rPr>
      <w:rFonts w:ascii="宋体" w:hAnsi="宋体" w:eastAsia="宋体"/>
      <w:kern w:val="2"/>
      <w:sz w:val="18"/>
      <w:szCs w:val="18"/>
      <w:lang w:val="en-US" w:eastAsia="zh-CN" w:bidi="ar-SA"/>
    </w:rPr>
  </w:style>
  <w:style w:type="character" w:customStyle="1" w:styleId="38">
    <w:name w:val="Char Char5"/>
    <w:qFormat/>
    <w:uiPriority w:val="0"/>
    <w:rPr>
      <w:rFonts w:eastAsia="宋体"/>
      <w:kern w:val="2"/>
      <w:sz w:val="18"/>
      <w:szCs w:val="18"/>
      <w:lang w:val="en-US" w:eastAsia="zh-CN" w:bidi="ar-SA"/>
    </w:rPr>
  </w:style>
  <w:style w:type="character" w:customStyle="1" w:styleId="39">
    <w:name w:val="htd01"/>
    <w:basedOn w:val="21"/>
    <w:qFormat/>
    <w:uiPriority w:val="0"/>
  </w:style>
  <w:style w:type="paragraph" w:styleId="4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4582</Words>
  <Characters>4773</Characters>
  <Lines>37</Lines>
  <Paragraphs>10</Paragraphs>
  <TotalTime>25</TotalTime>
  <ScaleCrop>false</ScaleCrop>
  <LinksUpToDate>false</LinksUpToDate>
  <CharactersWithSpaces>5002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2022-03-07T01:28:00Z</dcterms:created>
  <dc:creator>建诚代理</dc:creator>
  <cp:lastModifiedBy>亿陌</cp:lastModifiedBy>
  <cp:lastPrinted>2022-03-28T07:26:00Z</cp:lastPrinted>
  <dcterms:modified xsi:type="dcterms:W3CDTF">2022-03-29T07:12:22Z</dcterms:modified>
  <dc:title>招标文件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89F3B828D1094966A0F071E0033A1F78</vt:lpwstr>
  </property>
</Properties>
</file>