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仿宋_GB2312" w:hAnsi="仿宋_GB2312" w:eastAsia="仿宋_GB2312" w:cs="仿宋_GB2312"/>
          <w:bCs w:val="0"/>
          <w:color w:val="auto"/>
          <w:sz w:val="36"/>
          <w:szCs w:val="36"/>
        </w:rPr>
      </w:pPr>
      <w:r>
        <w:rPr>
          <w:rStyle w:val="4"/>
          <w:rFonts w:hint="eastAsia" w:ascii="仿宋_GB2312" w:hAnsi="仿宋_GB2312" w:eastAsia="仿宋_GB2312" w:cs="仿宋_GB2312"/>
          <w:b w:val="0"/>
          <w:color w:val="auto"/>
          <w:sz w:val="36"/>
          <w:szCs w:val="36"/>
        </w:rPr>
        <w:t>浙江省科学技术奖公示信息表</w:t>
      </w:r>
      <w:r>
        <w:rPr>
          <w:rStyle w:val="4"/>
          <w:rFonts w:hint="eastAsia" w:ascii="仿宋_GB2312" w:hAnsi="仿宋_GB2312" w:eastAsia="仿宋_GB2312" w:cs="仿宋_GB2312"/>
          <w:b w:val="0"/>
          <w:color w:val="auto"/>
          <w:sz w:val="32"/>
          <w:szCs w:val="32"/>
        </w:rPr>
        <w:t>（单位提名）</w:t>
      </w:r>
      <w:bookmarkStart w:id="0" w:name="_GoBack"/>
      <w:bookmarkEnd w:id="0"/>
    </w:p>
    <w:p>
      <w:pPr>
        <w:spacing w:line="440" w:lineRule="exact"/>
        <w:jc w:val="center"/>
        <w:rPr>
          <w:rFonts w:eastAsia="仿宋_GB2312"/>
          <w:color w:val="auto"/>
          <w:sz w:val="28"/>
          <w:szCs w:val="24"/>
        </w:rPr>
      </w:pPr>
      <w:r>
        <w:rPr>
          <w:rFonts w:eastAsia="仿宋_GB2312"/>
          <w:color w:val="auto"/>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2"/>
        <w:gridCol w:w="6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752" w:type="dxa"/>
            <w:vAlign w:val="center"/>
          </w:tcPr>
          <w:p>
            <w:pPr>
              <w:jc w:val="center"/>
              <w:rPr>
                <w:rStyle w:val="4"/>
                <w:rFonts w:eastAsia="仿宋_GB2312"/>
                <w:b w:val="0"/>
                <w:color w:val="auto"/>
                <w:sz w:val="28"/>
              </w:rPr>
            </w:pPr>
            <w:r>
              <w:rPr>
                <w:rStyle w:val="4"/>
                <w:rFonts w:eastAsia="仿宋_GB2312"/>
                <w:b w:val="0"/>
                <w:bCs w:val="0"/>
                <w:color w:val="auto"/>
                <w:sz w:val="28"/>
              </w:rPr>
              <w:t>成果名称</w:t>
            </w:r>
          </w:p>
        </w:tc>
        <w:tc>
          <w:tcPr>
            <w:tcW w:w="6754" w:type="dxa"/>
            <w:vAlign w:val="center"/>
          </w:tcPr>
          <w:p>
            <w:pPr>
              <w:jc w:val="center"/>
              <w:rPr>
                <w:rStyle w:val="4"/>
                <w:rFonts w:hint="eastAsia" w:ascii="宋体" w:hAnsi="宋体" w:eastAsia="宋体" w:cs="宋体"/>
                <w:b w:val="0"/>
                <w:color w:val="auto"/>
                <w:sz w:val="24"/>
                <w:szCs w:val="24"/>
              </w:rPr>
            </w:pPr>
            <w:r>
              <w:rPr>
                <w:rFonts w:hint="eastAsia" w:ascii="宋体" w:hAnsi="宋体" w:eastAsia="宋体" w:cs="宋体"/>
                <w:sz w:val="24"/>
                <w:szCs w:val="24"/>
                <w:highlight w:val="none"/>
              </w:rPr>
              <w:t>农用地土壤重金属污染综合防控及安全利用技术研发与应用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752" w:type="dxa"/>
            <w:vAlign w:val="center"/>
          </w:tcPr>
          <w:p>
            <w:pPr>
              <w:jc w:val="center"/>
              <w:rPr>
                <w:rStyle w:val="4"/>
                <w:rFonts w:eastAsia="仿宋_GB2312"/>
                <w:b w:val="0"/>
                <w:color w:val="auto"/>
                <w:sz w:val="28"/>
              </w:rPr>
            </w:pPr>
            <w:r>
              <w:rPr>
                <w:rStyle w:val="4"/>
                <w:rFonts w:eastAsia="仿宋_GB2312"/>
                <w:b w:val="0"/>
                <w:bCs w:val="0"/>
                <w:color w:val="auto"/>
                <w:sz w:val="28"/>
              </w:rPr>
              <w:t>提名等级</w:t>
            </w:r>
          </w:p>
        </w:tc>
        <w:tc>
          <w:tcPr>
            <w:tcW w:w="6754" w:type="dxa"/>
            <w:vAlign w:val="center"/>
          </w:tcPr>
          <w:p>
            <w:pPr>
              <w:jc w:val="center"/>
              <w:rPr>
                <w:rStyle w:val="4"/>
                <w:rFonts w:hint="eastAsia" w:ascii="宋体" w:hAnsi="宋体" w:eastAsia="宋体" w:cs="宋体"/>
                <w:b w:val="0"/>
                <w:color w:val="auto"/>
                <w:sz w:val="24"/>
                <w:szCs w:val="24"/>
              </w:rPr>
            </w:pPr>
            <w:r>
              <w:rPr>
                <w:rFonts w:hint="eastAsia" w:ascii="宋体" w:hAnsi="宋体" w:eastAsia="宋体" w:cs="宋体"/>
                <w:sz w:val="24"/>
                <w:szCs w:val="24"/>
                <w:highlight w:val="none"/>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752"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754" w:type="dxa"/>
            <w:vAlign w:val="center"/>
          </w:tcPr>
          <w:p>
            <w:pPr>
              <w:numPr>
                <w:ilvl w:val="0"/>
                <w:numId w:val="1"/>
              </w:numPr>
              <w:rPr>
                <w:rFonts w:hint="eastAsia"/>
              </w:rPr>
            </w:pPr>
            <w:r>
              <w:rPr>
                <w:rFonts w:hint="eastAsia"/>
              </w:rPr>
              <w:t>团体标准</w:t>
            </w:r>
            <w:r>
              <w:rPr>
                <w:rFonts w:hint="eastAsia"/>
                <w:lang w:val="en-US" w:eastAsia="zh-CN"/>
              </w:rPr>
              <w:t>.</w:t>
            </w:r>
            <w:r>
              <w:rPr>
                <w:rFonts w:hint="eastAsia"/>
              </w:rPr>
              <w:tab/>
            </w:r>
            <w:r>
              <w:rPr>
                <w:rFonts w:hint="eastAsia"/>
              </w:rPr>
              <w:t>受污染耕地安全利用示范建设规范</w:t>
            </w:r>
          </w:p>
          <w:p>
            <w:pPr>
              <w:numPr>
                <w:ilvl w:val="0"/>
                <w:numId w:val="1"/>
              </w:numPr>
              <w:ind w:left="0" w:leftChars="0" w:firstLine="0" w:firstLineChars="0"/>
              <w:rPr>
                <w:rFonts w:hint="eastAsia"/>
              </w:rPr>
            </w:pPr>
            <w:r>
              <w:rPr>
                <w:rFonts w:hint="eastAsia"/>
              </w:rPr>
              <w:t>地方标准</w:t>
            </w:r>
            <w:r>
              <w:rPr>
                <w:rFonts w:hint="eastAsia"/>
                <w:lang w:val="en-US" w:eastAsia="zh-CN"/>
              </w:rPr>
              <w:t>.</w:t>
            </w:r>
            <w:r>
              <w:rPr>
                <w:rFonts w:hint="eastAsia"/>
              </w:rPr>
              <w:tab/>
            </w:r>
            <w:r>
              <w:rPr>
                <w:rFonts w:hint="eastAsia"/>
              </w:rPr>
              <w:t>土地质量地质调查规范</w:t>
            </w:r>
          </w:p>
          <w:p>
            <w:pPr>
              <w:rPr>
                <w:rFonts w:hint="eastAsia"/>
              </w:rPr>
            </w:pPr>
            <w:r>
              <w:rPr>
                <w:rFonts w:hint="eastAsia"/>
              </w:rPr>
              <w:t>3.国际发明专利</w:t>
            </w:r>
            <w:r>
              <w:rPr>
                <w:rFonts w:hint="eastAsia"/>
                <w:lang w:val="en-US" w:eastAsia="zh-CN"/>
              </w:rPr>
              <w:t xml:space="preserve">. </w:t>
            </w:r>
            <w:r>
              <w:rPr>
                <w:rFonts w:hint="eastAsia"/>
              </w:rPr>
              <w:t>Soil heavy metal curing agent for controlling accumulation of heavy metal of crops and preparation method thereof</w:t>
            </w:r>
          </w:p>
          <w:p>
            <w:pPr>
              <w:rPr>
                <w:rFonts w:hint="eastAsia"/>
              </w:rPr>
            </w:pPr>
            <w:r>
              <w:rPr>
                <w:rFonts w:hint="eastAsia"/>
              </w:rPr>
              <w:t>4.</w:t>
            </w:r>
            <w:r>
              <w:rPr>
                <w:rFonts w:hint="eastAsia"/>
                <w:lang w:val="en-US" w:eastAsia="zh-CN"/>
              </w:rPr>
              <w:t xml:space="preserve"> </w:t>
            </w:r>
            <w:r>
              <w:rPr>
                <w:rFonts w:hint="eastAsia"/>
              </w:rPr>
              <w:t>发明专利</w:t>
            </w:r>
            <w:r>
              <w:rPr>
                <w:rFonts w:hint="eastAsia"/>
                <w:lang w:val="en-US" w:eastAsia="zh-CN"/>
              </w:rPr>
              <w:t xml:space="preserve">. </w:t>
            </w:r>
            <w:r>
              <w:rPr>
                <w:rFonts w:hint="eastAsia"/>
              </w:rPr>
              <w:t>一种适用于淹水环境下的土壤重金属钝化剂及其应用</w:t>
            </w:r>
          </w:p>
          <w:p>
            <w:pPr>
              <w:rPr>
                <w:rFonts w:hint="eastAsia"/>
              </w:rPr>
            </w:pPr>
            <w:r>
              <w:rPr>
                <w:rFonts w:hint="eastAsia"/>
              </w:rPr>
              <w:t>5.</w:t>
            </w:r>
            <w:r>
              <w:rPr>
                <w:rFonts w:hint="eastAsia"/>
                <w:lang w:val="en-US" w:eastAsia="zh-CN"/>
              </w:rPr>
              <w:t xml:space="preserve"> </w:t>
            </w:r>
            <w:r>
              <w:rPr>
                <w:rFonts w:hint="eastAsia"/>
              </w:rPr>
              <w:t>发明专利</w:t>
            </w:r>
            <w:r>
              <w:rPr>
                <w:rFonts w:hint="eastAsia"/>
                <w:lang w:val="en-US" w:eastAsia="zh-CN"/>
              </w:rPr>
              <w:t xml:space="preserve">. </w:t>
            </w:r>
            <w:r>
              <w:rPr>
                <w:rFonts w:hint="eastAsia"/>
              </w:rPr>
              <w:t>一种利用油菜-中稻轮作修复镉污染农田土壤的方法</w:t>
            </w:r>
          </w:p>
          <w:p>
            <w:pPr>
              <w:rPr>
                <w:rFonts w:hint="eastAsia"/>
              </w:rPr>
            </w:pPr>
            <w:r>
              <w:rPr>
                <w:rFonts w:hint="eastAsia"/>
              </w:rPr>
              <w:t>6.</w:t>
            </w:r>
            <w:r>
              <w:rPr>
                <w:rFonts w:hint="eastAsia"/>
                <w:lang w:val="en-US" w:eastAsia="zh-CN"/>
              </w:rPr>
              <w:t xml:space="preserve"> </w:t>
            </w:r>
            <w:r>
              <w:rPr>
                <w:rFonts w:hint="eastAsia"/>
              </w:rPr>
              <w:t>软件著作权</w:t>
            </w:r>
            <w:r>
              <w:rPr>
                <w:rFonts w:hint="eastAsia"/>
                <w:lang w:val="en-US" w:eastAsia="zh-CN"/>
              </w:rPr>
              <w:t xml:space="preserve">. </w:t>
            </w:r>
            <w:r>
              <w:rPr>
                <w:rFonts w:hint="eastAsia"/>
              </w:rPr>
              <w:t>浙江省土壤重金属综合监测系统</w:t>
            </w:r>
          </w:p>
          <w:p>
            <w:pPr>
              <w:rPr>
                <w:rFonts w:hint="default"/>
                <w:lang w:val="en-US" w:eastAsia="zh-CN"/>
              </w:rPr>
            </w:pPr>
            <w:r>
              <w:rPr>
                <w:rFonts w:hint="eastAsia"/>
                <w:lang w:val="en-US" w:eastAsia="zh-CN"/>
              </w:rPr>
              <w:t>7. 朱有为，柳丹</w:t>
            </w:r>
            <w:r>
              <w:rPr>
                <w:rFonts w:hint="eastAsia"/>
                <w:lang w:val="en-US" w:eastAsia="zh-CN"/>
              </w:rPr>
              <w:tab/>
            </w:r>
            <w:r>
              <w:rPr>
                <w:rFonts w:hint="eastAsia"/>
                <w:lang w:val="en-US" w:eastAsia="zh-CN"/>
              </w:rPr>
              <w:t>农用地土壤重金属污染防治技术研究与实践. 浙江大学出版社.2021</w:t>
            </w:r>
          </w:p>
          <w:p>
            <w:pPr>
              <w:rPr>
                <w:rFonts w:hint="default"/>
                <w:lang w:val="en-US" w:eastAsia="zh-CN"/>
              </w:rPr>
            </w:pPr>
            <w:r>
              <w:rPr>
                <w:rFonts w:hint="eastAsia"/>
                <w:lang w:val="en-US" w:eastAsia="zh-CN"/>
              </w:rPr>
              <w:t>8. Jia X L, Hu B F, Marchant B, Zhou L Q, Shi Z*, Zhu Y W. A methodological framework for identifying potential sources of soil heavy metal pollution based on machine learning: A case study in the Yangtze Delta, China. / Environmental Pollution. 2019.</w:t>
            </w:r>
          </w:p>
          <w:p>
            <w:pPr>
              <w:rPr>
                <w:rFonts w:hint="eastAsia"/>
                <w:lang w:val="en-US" w:eastAsia="zh-CN"/>
              </w:rPr>
            </w:pPr>
            <w:r>
              <w:rPr>
                <w:rFonts w:hint="eastAsia"/>
                <w:lang w:val="en-US" w:eastAsia="zh-CN"/>
              </w:rPr>
              <w:t>9. Guo Bin, Yongchao Liang, Qinglin Fu, Nengfei Ding, Chen Liu, Yicheng Lin, Hua Li, Ningyu Li. Cadmium stabilization with nursery stocks through transplantation: A new approach to phytoremediation. Journal of Hazardous Materials. 2012.</w:t>
            </w:r>
          </w:p>
          <w:p>
            <w:pPr>
              <w:rPr>
                <w:rFonts w:eastAsia="仿宋_GB2312"/>
                <w:bCs/>
                <w:color w:val="auto"/>
                <w:sz w:val="24"/>
                <w:szCs w:val="24"/>
              </w:rPr>
            </w:pPr>
            <w:r>
              <w:rPr>
                <w:rFonts w:hint="eastAsia"/>
                <w:lang w:val="en-US" w:eastAsia="zh-CN"/>
              </w:rPr>
              <w:t>10. Xu W J, Hou S Z, Muhammad A K, Yu C, Xiao L L, Ruan Z B, Liu H, Chen Z H, Ceng S W, Ye  Z Q, Liu D*. Effect of water and fertilization management on Cd immobilization and bioavailability in Cd-polluted paddy soil. Chemosphere. 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1752"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754" w:type="dxa"/>
            <w:tcBorders>
              <w:left w:val="single" w:color="auto" w:sz="4" w:space="0"/>
            </w:tcBorders>
            <w:vAlign w:val="center"/>
          </w:tcPr>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朱有为</w:t>
            </w:r>
            <w:r>
              <w:rPr>
                <w:rFonts w:hint="default" w:ascii="Times New Roman" w:hAnsi="Times New Roman" w:eastAsia="宋体" w:cs="Times New Roman"/>
                <w:bCs/>
                <w:color w:val="auto"/>
                <w:sz w:val="21"/>
                <w:szCs w:val="21"/>
              </w:rPr>
              <w:t>，排名1，</w:t>
            </w:r>
            <w:r>
              <w:rPr>
                <w:rFonts w:hint="default" w:ascii="Times New Roman" w:hAnsi="Times New Roman" w:eastAsia="宋体" w:cs="Times New Roman"/>
                <w:sz w:val="21"/>
                <w:szCs w:val="21"/>
              </w:rPr>
              <w:t>推广研究员</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sz w:val="21"/>
                <w:szCs w:val="21"/>
                <w:highlight w:val="none"/>
              </w:rPr>
              <w:t>浙江省耕地质量与肥料管理总站</w:t>
            </w:r>
            <w:r>
              <w:rPr>
                <w:rFonts w:hint="default" w:ascii="Times New Roman" w:hAnsi="Times New Roman" w:eastAsia="宋体" w:cs="Times New Roman"/>
                <w:bCs/>
                <w:color w:val="auto"/>
                <w:sz w:val="21"/>
                <w:szCs w:val="21"/>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郭彬</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排名2</w:t>
            </w:r>
            <w:r>
              <w:rPr>
                <w:rFonts w:hint="default" w:ascii="Times New Roman" w:hAnsi="Times New Roman" w:eastAsia="宋体" w:cs="Times New Roman"/>
                <w:bCs/>
                <w:color w:val="auto"/>
                <w:sz w:val="21"/>
                <w:szCs w:val="21"/>
                <w:lang w:eastAsia="zh-CN"/>
              </w:rPr>
              <w:t>，研究员，浙江省农业科学院；</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杨肖娥</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教授</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浙江大学</w:t>
            </w:r>
            <w:r>
              <w:rPr>
                <w:rFonts w:hint="default" w:ascii="Times New Roman" w:hAnsi="Times New Roman" w:eastAsia="宋体" w:cs="Times New Roman"/>
                <w:bCs/>
                <w:color w:val="auto"/>
                <w:sz w:val="21"/>
                <w:szCs w:val="21"/>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eastAsia="zh-CN"/>
              </w:rPr>
              <w:t>史舟</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教授</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浙江大学</w:t>
            </w:r>
            <w:r>
              <w:rPr>
                <w:rFonts w:hint="default" w:ascii="Times New Roman" w:hAnsi="Times New Roman" w:eastAsia="宋体" w:cs="Times New Roman"/>
                <w:bCs/>
                <w:color w:val="auto"/>
                <w:sz w:val="21"/>
                <w:szCs w:val="21"/>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蔡子华</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，正高级工程师，</w:t>
            </w:r>
            <w:r>
              <w:rPr>
                <w:rFonts w:hint="default" w:ascii="Times New Roman" w:hAnsi="Times New Roman" w:eastAsia="宋体" w:cs="Times New Roman"/>
                <w:sz w:val="21"/>
                <w:szCs w:val="21"/>
                <w:highlight w:val="none"/>
              </w:rPr>
              <w:t>浙江省地质调查院</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柳丹</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6，教授，</w:t>
            </w:r>
            <w:r>
              <w:rPr>
                <w:rFonts w:hint="default" w:ascii="Times New Roman" w:hAnsi="Times New Roman" w:eastAsia="宋体" w:cs="Times New Roman"/>
                <w:sz w:val="21"/>
                <w:szCs w:val="21"/>
                <w:highlight w:val="none"/>
              </w:rPr>
              <w:t>浙江农林大学</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邵国胜</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7，研究员，</w:t>
            </w:r>
            <w:r>
              <w:rPr>
                <w:rFonts w:hint="default" w:ascii="Times New Roman" w:hAnsi="Times New Roman" w:eastAsia="宋体" w:cs="Times New Roman"/>
                <w:sz w:val="21"/>
                <w:szCs w:val="21"/>
                <w:highlight w:val="none"/>
              </w:rPr>
              <w:t>中国水稻研究所</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邓美华</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8</w:t>
            </w:r>
            <w:r>
              <w:rPr>
                <w:rFonts w:hint="default" w:ascii="Times New Roman" w:hAnsi="Times New Roman" w:eastAsia="宋体" w:cs="Times New Roman"/>
                <w:bCs/>
                <w:color w:val="auto"/>
                <w:sz w:val="21"/>
                <w:szCs w:val="21"/>
                <w:lang w:eastAsia="zh-CN"/>
              </w:rPr>
              <w:t>，助理研究员，浙江省农业科学院；</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黄春雷</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9</w:t>
            </w:r>
            <w:r>
              <w:rPr>
                <w:rFonts w:hint="default" w:ascii="Times New Roman" w:hAnsi="Times New Roman" w:eastAsia="宋体" w:cs="Times New Roman"/>
                <w:bCs/>
                <w:color w:val="auto"/>
                <w:sz w:val="21"/>
                <w:szCs w:val="21"/>
              </w:rPr>
              <w:t>，高级工程师，</w:t>
            </w:r>
            <w:r>
              <w:rPr>
                <w:rFonts w:hint="default" w:ascii="Times New Roman" w:hAnsi="Times New Roman" w:eastAsia="宋体" w:cs="Times New Roman"/>
                <w:sz w:val="21"/>
                <w:szCs w:val="21"/>
                <w:highlight w:val="none"/>
              </w:rPr>
              <w:t>浙江省地质调查院</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汪玉磊</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10</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农艺师</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sz w:val="21"/>
                <w:szCs w:val="21"/>
                <w:highlight w:val="none"/>
              </w:rPr>
              <w:t>浙江省耕地质量与肥料管理总站</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rPr>
              <w:t>杨艳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11</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eastAsia="zh-CN"/>
              </w:rPr>
              <w:t>中级</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sz w:val="21"/>
                <w:szCs w:val="21"/>
              </w:rPr>
              <w:t>浙江丰瑜生态科技股份有限公司</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sz w:val="21"/>
                <w:szCs w:val="21"/>
                <w:highlight w:val="none"/>
              </w:rPr>
              <w:t>童文彬</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12</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sz w:val="21"/>
                <w:szCs w:val="21"/>
              </w:rPr>
              <w:t>推广研究员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highlight w:val="none"/>
              </w:rPr>
              <w:t>衢江区农业技术推广中心</w:t>
            </w:r>
            <w:r>
              <w:rPr>
                <w:rFonts w:hint="default" w:ascii="Times New Roman" w:hAnsi="Times New Roman" w:eastAsia="宋体" w:cs="Times New Roman"/>
                <w:sz w:val="21"/>
                <w:szCs w:val="21"/>
                <w:highlight w:val="none"/>
                <w:lang w:eastAsia="zh-CN"/>
              </w:rPr>
              <w:t>；</w:t>
            </w:r>
          </w:p>
          <w:p>
            <w:pPr>
              <w:numPr>
                <w:ilvl w:val="0"/>
                <w:numId w:val="2"/>
              </w:numPr>
              <w:spacing w:line="440" w:lineRule="exact"/>
              <w:jc w:val="left"/>
              <w:rPr>
                <w:rFonts w:eastAsia="仿宋_GB2312"/>
                <w:bCs/>
                <w:color w:val="auto"/>
                <w:sz w:val="24"/>
                <w:szCs w:val="24"/>
              </w:rPr>
            </w:pPr>
            <w:r>
              <w:rPr>
                <w:rFonts w:hint="default" w:ascii="Times New Roman" w:hAnsi="Times New Roman" w:eastAsia="宋体" w:cs="Times New Roman"/>
                <w:sz w:val="21"/>
                <w:szCs w:val="21"/>
                <w:highlight w:val="none"/>
              </w:rPr>
              <w:t>潘建清</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color w:val="auto"/>
                <w:sz w:val="21"/>
                <w:szCs w:val="21"/>
              </w:rPr>
              <w:t>排名</w:t>
            </w:r>
            <w:r>
              <w:rPr>
                <w:rFonts w:hint="default" w:ascii="Times New Roman" w:hAnsi="Times New Roman" w:eastAsia="宋体" w:cs="Times New Roman"/>
                <w:bCs/>
                <w:color w:val="auto"/>
                <w:sz w:val="21"/>
                <w:szCs w:val="21"/>
                <w:lang w:val="en-US" w:eastAsia="zh-CN"/>
              </w:rPr>
              <w:t>13</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sz w:val="21"/>
                <w:szCs w:val="21"/>
              </w:rPr>
              <w:t>高级农艺师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highlight w:val="none"/>
              </w:rPr>
              <w:t>长兴县农业技术推广服务总站</w:t>
            </w:r>
            <w:r>
              <w:rPr>
                <w:rFonts w:hint="eastAsia" w:cs="Times New Roman"/>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752"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754" w:type="dxa"/>
            <w:tcBorders>
              <w:left w:val="single" w:color="auto" w:sz="4" w:space="0"/>
            </w:tcBorders>
            <w:vAlign w:val="center"/>
          </w:tcPr>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浙江省农业科学院</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浙江省耕地质量与肥料管理总站</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浙江大学</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浙江省地质调查院</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浙江农林大学</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中国水稻研究所</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浙江丰瑜生态科技股份有限公司</w:t>
            </w:r>
          </w:p>
          <w:p>
            <w:pPr>
              <w:numPr>
                <w:ilvl w:val="0"/>
                <w:numId w:val="3"/>
              </w:numPr>
              <w:spacing w:line="440" w:lineRule="exact"/>
              <w:jc w:val="left"/>
              <w:rPr>
                <w:rFonts w:hint="eastAsia" w:ascii="宋体" w:hAnsi="宋体" w:eastAsia="宋体" w:cs="宋体"/>
                <w:bCs/>
                <w:color w:val="auto"/>
                <w:sz w:val="21"/>
                <w:szCs w:val="21"/>
              </w:rPr>
            </w:pPr>
            <w:r>
              <w:rPr>
                <w:rFonts w:hint="eastAsia" w:ascii="宋体" w:hAnsi="宋体" w:eastAsia="宋体" w:cs="宋体"/>
                <w:sz w:val="21"/>
                <w:szCs w:val="21"/>
                <w:highlight w:val="none"/>
              </w:rPr>
              <w:t>衢江区农业技术推广中心</w:t>
            </w:r>
          </w:p>
          <w:p>
            <w:pPr>
              <w:numPr>
                <w:ilvl w:val="0"/>
                <w:numId w:val="0"/>
              </w:numPr>
              <w:spacing w:line="440" w:lineRule="exact"/>
              <w:jc w:val="left"/>
              <w:rPr>
                <w:rFonts w:eastAsia="仿宋_GB2312"/>
                <w:bCs/>
                <w:color w:val="auto"/>
                <w:sz w:val="24"/>
                <w:szCs w:val="24"/>
              </w:rPr>
            </w:pPr>
            <w:r>
              <w:rPr>
                <w:rFonts w:hint="eastAsia" w:ascii="宋体" w:hAnsi="宋体" w:cs="宋体"/>
                <w:sz w:val="21"/>
                <w:szCs w:val="21"/>
                <w:highlight w:val="none"/>
                <w:lang w:val="en-US" w:eastAsia="zh-CN"/>
              </w:rPr>
              <w:t xml:space="preserve">9. </w:t>
            </w:r>
            <w:r>
              <w:rPr>
                <w:rFonts w:hint="eastAsia" w:ascii="宋体" w:hAnsi="宋体" w:eastAsia="宋体" w:cs="宋体"/>
                <w:sz w:val="21"/>
                <w:szCs w:val="21"/>
                <w:highlight w:val="none"/>
              </w:rPr>
              <w:t>长兴县农业技术推广服务总站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752"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754" w:type="dxa"/>
            <w:vAlign w:val="center"/>
          </w:tcPr>
          <w:p>
            <w:pPr>
              <w:numPr>
                <w:ilvl w:val="0"/>
                <w:numId w:val="0"/>
              </w:numPr>
              <w:spacing w:line="440" w:lineRule="exact"/>
              <w:jc w:val="left"/>
              <w:rPr>
                <w:rStyle w:val="4"/>
                <w:b w:val="0"/>
                <w:color w:val="auto"/>
              </w:rPr>
            </w:pPr>
            <w:r>
              <w:rPr>
                <w:rFonts w:hint="eastAsia" w:ascii="宋体" w:hAnsi="宋体" w:eastAsia="宋体" w:cs="宋体"/>
                <w:sz w:val="21"/>
                <w:szCs w:val="21"/>
                <w:highlight w:val="none"/>
              </w:rPr>
              <w:t>浙江省农业科学院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3" w:hRule="atLeast"/>
        </w:trPr>
        <w:tc>
          <w:tcPr>
            <w:tcW w:w="1752"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8" w:firstLineChars="200"/>
              <w:contextualSpacing/>
              <w:jc w:val="left"/>
              <w:textAlignment w:val="auto"/>
              <w:rPr>
                <w:rFonts w:hint="eastAsia" w:ascii="仿宋" w:hAnsi="仿宋" w:eastAsia="仿宋"/>
                <w:bCs/>
                <w:spacing w:val="2"/>
                <w:sz w:val="24"/>
                <w:szCs w:val="24"/>
              </w:rPr>
            </w:pPr>
            <w:r>
              <w:rPr>
                <w:rFonts w:hint="eastAsia" w:ascii="宋体" w:hAnsi="宋体" w:eastAsia="宋体" w:cs="宋体"/>
                <w:bCs/>
                <w:spacing w:val="2"/>
                <w:sz w:val="21"/>
                <w:szCs w:val="21"/>
              </w:rPr>
              <w:t>本项目针对农用地土壤重金属污染状况不明、修复治理技术和产品缺乏以及综合防治体系与标准不全等瓶颈问题，从土壤健康及农产品质量安全需求出发，充分结合浙江省实际工作情况，系统构建了基于省域范围的农用地土壤污染特征调查及源解析方法，开发了浙江省农田土壤重金属污染信息化平台，创新了基于源汇变量推理的区域土壤污染源解析新方法，发布了相关土地质量调查技术地方标准，有效地为浙江省农用地土壤重金属污染精准防治和政府管理决策提供技术支撑；筛选了一批适于浙江省推广种植的低累积作物品种，研发了系列高效低廉、环境友好的土壤调理剂产品，创新了水分管理配施肥料技术，出台了一系列相应的技术指南，为控制农田土壤重金属食物链迁移和扩散提供了关键技术保障和适宜产品，显著降低中轻度污染稻田的农业利用风险；结合浙江省历年农用地土壤污染防治行动计划，采取“农用优先、治用结合、综合施策”相结合的防治思路，在国内率先建立了受污染耕地安全利用示范建设标准规范，在浙江典型区域已形成了一批具有显著地域特点、高效防治效果、自主知识产权的农田土壤污染分类分级分区治理技术模式，并开展了省级核心示范和全域性广泛应用，提供了“浙江经验”，为我省乃至全国农用地重金属污染综合治理提供了技术支撑和示范样板，对全面落实贯彻“土十条”和农业农村可持续发展具有重大意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AB3B5"/>
    <w:multiLevelType w:val="singleLevel"/>
    <w:tmpl w:val="A0DAB3B5"/>
    <w:lvl w:ilvl="0" w:tentative="0">
      <w:start w:val="1"/>
      <w:numFmt w:val="decimal"/>
      <w:suff w:val="space"/>
      <w:lvlText w:val="%1."/>
      <w:lvlJc w:val="left"/>
    </w:lvl>
  </w:abstractNum>
  <w:abstractNum w:abstractNumId="1">
    <w:nsid w:val="CEE21353"/>
    <w:multiLevelType w:val="singleLevel"/>
    <w:tmpl w:val="CEE21353"/>
    <w:lvl w:ilvl="0" w:tentative="0">
      <w:start w:val="1"/>
      <w:numFmt w:val="decimal"/>
      <w:suff w:val="space"/>
      <w:lvlText w:val="%1."/>
      <w:lvlJc w:val="left"/>
    </w:lvl>
  </w:abstractNum>
  <w:abstractNum w:abstractNumId="2">
    <w:nsid w:val="58771158"/>
    <w:multiLevelType w:val="singleLevel"/>
    <w:tmpl w:val="58771158"/>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90AEA"/>
    <w:rsid w:val="36390AEA"/>
    <w:rsid w:val="669E3A6F"/>
    <w:rsid w:val="7BB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2022-02-21T02:39:00Z</dcterms:created>
  <dc:creator>郭彬</dc:creator>
  <cp:lastModifiedBy>郭彬</cp:lastModifiedBy>
  <dcterms:modified xsi:type="dcterms:W3CDTF">2022-02-23T05:54:07Z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4F9612E13C2D4EAD869516758E3E5FF8</vt:lpwstr>
  </property>
</Properties>
</file>