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71633521"/>
      <w:r>
        <w:t>遂宁市宸安投资有限公司</w:t>
      </w:r>
    </w:p>
    <w:p>
      <w:pPr>
        <w:pStyle w:val="2"/>
        <w:spacing w:after="120" w:afterLines="50"/>
      </w:pPr>
      <w:r>
        <w:rPr>
          <w:rFonts w:hint="eastAsia"/>
          <w:spacing w:val="-20"/>
          <w:lang w:eastAsia="zh-CN"/>
        </w:rPr>
        <w:t>晨光博达项目专线建设工程</w:t>
      </w:r>
      <w:r>
        <w:rPr>
          <w:rFonts w:hint="eastAsia"/>
          <w:spacing w:val="-20"/>
          <w:lang w:eastAsia="zh-CN"/>
        </w:rPr>
        <w:br w:type="textWrapping"/>
      </w:r>
      <w:r>
        <w:rPr>
          <w:spacing w:val="-20"/>
        </w:rPr>
        <w:t>代理机构</w:t>
      </w:r>
      <w:r>
        <w:rPr>
          <w:rFonts w:hint="eastAsia"/>
          <w:lang w:eastAsia="zh-CN"/>
        </w:rPr>
        <w:t>投标</w:t>
      </w:r>
      <w:r>
        <w:t>邀请函</w:t>
      </w:r>
      <w:bookmarkEnd w:id="0"/>
    </w:p>
    <w:p>
      <w:pPr>
        <w:shd w:val="clear" w:color="auto" w:fill="FFFFFF"/>
        <w:spacing w:after="150"/>
        <w:ind w:firstLine="640"/>
        <w:rPr>
          <w:rFonts w:ascii="微软雅黑" w:hAnsi="微软雅黑" w:eastAsia="微软雅黑" w:cs="宋体"/>
          <w:color w:val="333333"/>
          <w:sz w:val="23"/>
          <w:szCs w:val="23"/>
        </w:rPr>
      </w:pPr>
      <w:r>
        <w:rPr>
          <w:rFonts w:ascii="仿宋_GB2312" w:hAnsi="Times New Roman" w:eastAsia="仿宋_GB2312" w:cs="Times New Roman"/>
          <w:color w:val="333333"/>
          <w:szCs w:val="32"/>
        </w:rPr>
        <w:t>遂宁市宸安投资有限公司拟参照</w:t>
      </w:r>
      <w:r>
        <w:rPr>
          <w:rFonts w:hint="eastAsia" w:ascii="仿宋_GB2312" w:hAnsi="Times New Roman" w:eastAsia="仿宋_GB2312" w:cs="Times New Roman"/>
          <w:color w:val="333333"/>
          <w:szCs w:val="32"/>
          <w:lang w:eastAsia="zh-CN"/>
        </w:rPr>
        <w:t>投标</w:t>
      </w:r>
      <w:r>
        <w:rPr>
          <w:rFonts w:ascii="仿宋_GB2312" w:hAnsi="Times New Roman" w:eastAsia="仿宋_GB2312" w:cs="Times New Roman"/>
          <w:color w:val="333333"/>
          <w:szCs w:val="32"/>
        </w:rPr>
        <w:t>方式对</w:t>
      </w:r>
      <w:r>
        <w:rPr>
          <w:rFonts w:ascii="Times New Roman" w:hAnsi="Times New Roman" w:eastAsia="微软雅黑" w:cs="Times New Roman"/>
          <w:color w:val="333333"/>
          <w:szCs w:val="32"/>
        </w:rPr>
        <w:t>“</w:t>
      </w:r>
      <w:r>
        <w:rPr>
          <w:rFonts w:hint="eastAsia" w:ascii="仿宋_GB2312" w:hAnsi="微软雅黑" w:eastAsia="仿宋_GB2312" w:cs="宋体"/>
          <w:color w:val="333333"/>
          <w:szCs w:val="32"/>
          <w:lang w:eastAsia="zh-CN"/>
        </w:rPr>
        <w:t>晨光博达项目专线建设工程</w:t>
      </w:r>
      <w:r>
        <w:rPr>
          <w:rFonts w:ascii="Times New Roman" w:hAnsi="Times New Roman" w:eastAsia="微软雅黑" w:cs="Times New Roman"/>
          <w:color w:val="333333"/>
          <w:szCs w:val="32"/>
        </w:rPr>
        <w:t>”</w:t>
      </w:r>
      <w:r>
        <w:rPr>
          <w:rFonts w:hint="eastAsia" w:ascii="仿宋_GB2312" w:hAnsi="Times New Roman" w:eastAsia="仿宋_GB2312" w:cs="Times New Roman"/>
          <w:color w:val="333333"/>
          <w:szCs w:val="32"/>
        </w:rPr>
        <w:t>招标</w:t>
      </w:r>
      <w:r>
        <w:rPr>
          <w:rFonts w:ascii="仿宋_GB2312" w:hAnsi="Times New Roman" w:eastAsia="仿宋_GB2312" w:cs="Times New Roman"/>
          <w:color w:val="333333"/>
          <w:szCs w:val="32"/>
        </w:rPr>
        <w:t>代理机构进行</w:t>
      </w:r>
      <w:r>
        <w:rPr>
          <w:rFonts w:hint="eastAsia" w:ascii="仿宋_GB2312" w:hAnsi="Times New Roman" w:eastAsia="仿宋_GB2312" w:cs="Times New Roman"/>
          <w:color w:val="333333"/>
          <w:szCs w:val="32"/>
          <w:lang w:val="en-US" w:eastAsia="zh-CN"/>
        </w:rPr>
        <w:t>招</w:t>
      </w:r>
      <w:r>
        <w:rPr>
          <w:rFonts w:hint="eastAsia" w:ascii="仿宋_GB2312" w:hAnsi="Times New Roman" w:eastAsia="仿宋_GB2312" w:cs="Times New Roman"/>
          <w:color w:val="333333"/>
          <w:szCs w:val="32"/>
          <w:lang w:eastAsia="zh-CN"/>
        </w:rPr>
        <w:t>标</w:t>
      </w:r>
      <w:r>
        <w:rPr>
          <w:rFonts w:ascii="仿宋_GB2312" w:hAnsi="Times New Roman" w:eastAsia="仿宋_GB2312" w:cs="Times New Roman"/>
          <w:color w:val="333333"/>
          <w:szCs w:val="32"/>
        </w:rPr>
        <w:t>，兹邀请符合本次</w:t>
      </w:r>
      <w:r>
        <w:rPr>
          <w:rFonts w:hint="eastAsia" w:ascii="仿宋_GB2312" w:hAnsi="Times New Roman" w:eastAsia="仿宋_GB2312" w:cs="Times New Roman"/>
          <w:color w:val="333333"/>
          <w:szCs w:val="32"/>
          <w:lang w:val="en-US" w:eastAsia="zh-CN"/>
        </w:rPr>
        <w:t>招</w:t>
      </w:r>
      <w:r>
        <w:rPr>
          <w:rFonts w:hint="eastAsia" w:ascii="仿宋_GB2312" w:hAnsi="Times New Roman" w:eastAsia="仿宋_GB2312" w:cs="Times New Roman"/>
          <w:color w:val="333333"/>
          <w:szCs w:val="32"/>
          <w:lang w:eastAsia="zh-CN"/>
        </w:rPr>
        <w:t>标</w:t>
      </w:r>
      <w:r>
        <w:rPr>
          <w:rFonts w:ascii="仿宋_GB2312" w:hAnsi="Times New Roman" w:eastAsia="仿宋_GB2312" w:cs="Times New Roman"/>
          <w:color w:val="333333"/>
          <w:szCs w:val="32"/>
        </w:rPr>
        <w:t>要求的</w:t>
      </w:r>
      <w:r>
        <w:rPr>
          <w:rFonts w:hint="eastAsia" w:ascii="仿宋_GB2312" w:hAnsi="Times New Roman" w:eastAsia="仿宋_GB2312" w:cs="Times New Roman"/>
          <w:color w:val="333333"/>
          <w:szCs w:val="32"/>
          <w:lang w:val="en-US" w:eastAsia="zh-CN"/>
        </w:rPr>
        <w:t>工程</w:t>
      </w:r>
      <w:r>
        <w:rPr>
          <w:rFonts w:ascii="仿宋_GB2312" w:hAnsi="Times New Roman" w:eastAsia="仿宋_GB2312" w:cs="Times New Roman"/>
          <w:color w:val="333333"/>
          <w:szCs w:val="32"/>
        </w:rPr>
        <w:t>招标代理机构参</w:t>
      </w:r>
      <w:r>
        <w:rPr>
          <w:rFonts w:hint="eastAsia" w:ascii="仿宋_GB2312" w:hAnsi="Times New Roman" w:eastAsia="仿宋_GB2312" w:cs="Times New Roman"/>
          <w:color w:val="333333"/>
          <w:szCs w:val="32"/>
          <w:lang w:val="en-US" w:eastAsia="zh-CN"/>
        </w:rPr>
        <w:t>与</w:t>
      </w:r>
      <w:r>
        <w:rPr>
          <w:rFonts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一、项目名称：</w:t>
      </w:r>
      <w:r>
        <w:rPr>
          <w:rFonts w:hint="eastAsia" w:ascii="仿宋_GB2312" w:hAnsi="微软雅黑" w:eastAsia="仿宋_GB2312" w:cs="宋体"/>
          <w:color w:val="333333"/>
          <w:szCs w:val="32"/>
          <w:lang w:eastAsia="zh-CN"/>
        </w:rPr>
        <w:t>晨光博达项目专线建设工程</w:t>
      </w:r>
      <w:r>
        <w:rPr>
          <w:rFonts w:hint="eastAsia" w:ascii="仿宋_GB2312" w:hAnsi="Times New Roman" w:eastAsia="仿宋_GB2312" w:cs="Times New Roman"/>
          <w:color w:val="333333"/>
          <w:szCs w:val="32"/>
          <w:lang w:eastAsia="zh-CN"/>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二、</w:t>
      </w:r>
      <w:r>
        <w:rPr>
          <w:rFonts w:hint="eastAsia" w:ascii="黑体" w:hAnsi="黑体" w:eastAsia="黑体" w:cs="Times New Roman"/>
          <w:color w:val="333333"/>
          <w:szCs w:val="32"/>
          <w:lang w:val="en-US" w:eastAsia="zh-CN"/>
        </w:rPr>
        <w:t>招标</w:t>
      </w:r>
      <w:r>
        <w:rPr>
          <w:rFonts w:ascii="黑体" w:hAnsi="黑体" w:eastAsia="黑体" w:cs="Times New Roman"/>
          <w:color w:val="333333"/>
          <w:szCs w:val="32"/>
        </w:rPr>
        <w:t>人名称：</w:t>
      </w:r>
      <w:r>
        <w:rPr>
          <w:rFonts w:ascii="仿宋_GB2312" w:hAnsi="Times New Roman" w:eastAsia="仿宋_GB2312" w:cs="Times New Roman"/>
          <w:color w:val="333333"/>
          <w:szCs w:val="32"/>
        </w:rPr>
        <w:t>遂宁市宸安投资有限公司</w:t>
      </w:r>
    </w:p>
    <w:p>
      <w:pPr>
        <w:shd w:val="clear" w:color="auto" w:fill="FFFFFF"/>
        <w:spacing w:after="150"/>
        <w:ind w:firstLine="640"/>
        <w:rPr>
          <w:rFonts w:ascii="黑体" w:hAnsi="黑体" w:eastAsia="黑体" w:cs="Times New Roman"/>
          <w:color w:val="333333"/>
          <w:szCs w:val="32"/>
        </w:rPr>
      </w:pPr>
      <w:r>
        <w:rPr>
          <w:rFonts w:ascii="黑体" w:hAnsi="黑体" w:eastAsia="黑体" w:cs="Times New Roman"/>
          <w:color w:val="333333"/>
          <w:szCs w:val="32"/>
        </w:rPr>
        <w:t>三、</w:t>
      </w:r>
      <w:r>
        <w:rPr>
          <w:rFonts w:hint="eastAsia" w:ascii="黑体" w:hAnsi="黑体" w:eastAsia="黑体" w:cs="Times New Roman"/>
          <w:color w:val="333333"/>
          <w:szCs w:val="32"/>
          <w:lang w:val="en-US" w:eastAsia="zh-CN"/>
        </w:rPr>
        <w:t>招标</w:t>
      </w:r>
      <w:r>
        <w:rPr>
          <w:rFonts w:ascii="黑体" w:hAnsi="黑体" w:eastAsia="黑体" w:cs="Times New Roman"/>
          <w:color w:val="333333"/>
          <w:szCs w:val="32"/>
        </w:rPr>
        <w:t>方式：</w:t>
      </w:r>
    </w:p>
    <w:p>
      <w:pPr>
        <w:shd w:val="clear" w:color="auto" w:fill="FFFFFF"/>
        <w:spacing w:after="150"/>
        <w:ind w:firstLine="640"/>
        <w:rPr>
          <w:rFonts w:hint="eastAsia" w:ascii="黑体" w:hAnsi="黑体" w:eastAsia="黑体" w:cs="Times New Roman"/>
          <w:color w:val="333333"/>
          <w:szCs w:val="32"/>
          <w:lang w:eastAsia="zh-CN"/>
        </w:rPr>
      </w:pPr>
      <w:r>
        <w:rPr>
          <w:rFonts w:hint="eastAsia" w:ascii="仿宋_GB2312" w:hAnsi="Times New Roman" w:eastAsia="仿宋_GB2312" w:cs="Times New Roman"/>
          <w:color w:val="333333"/>
          <w:szCs w:val="32"/>
          <w:lang w:val="en-US" w:eastAsia="zh-CN"/>
        </w:rPr>
        <w:t>1</w:t>
      </w:r>
      <w:r>
        <w:rPr>
          <w:rFonts w:ascii="仿宋_GB2312" w:hAnsi="Times New Roman" w:eastAsia="仿宋_GB2312" w:cs="Times New Roman"/>
          <w:color w:val="333333"/>
          <w:szCs w:val="32"/>
          <w:lang w:eastAsia="zh-CN"/>
        </w:rPr>
        <w:t>.</w:t>
      </w:r>
      <w:r>
        <w:rPr>
          <w:rFonts w:hint="eastAsia" w:ascii="仿宋_GB2312" w:hAnsi="Times New Roman" w:eastAsia="仿宋_GB2312" w:cs="Times New Roman"/>
          <w:color w:val="333333"/>
          <w:szCs w:val="32"/>
          <w:lang w:val="en-US" w:eastAsia="zh-CN"/>
        </w:rPr>
        <w:t>项目控制价400万元（暂定金额，最终根据评审通过的控制价为准）</w:t>
      </w:r>
    </w:p>
    <w:p>
      <w:pPr>
        <w:shd w:val="clear" w:color="auto" w:fill="FFFFFF"/>
        <w:spacing w:after="150"/>
        <w:ind w:firstLine="640"/>
        <w:rPr>
          <w:rFonts w:ascii="仿宋_GB2312" w:hAnsi="Times New Roman" w:eastAsia="仿宋_GB2312" w:cs="Times New Roman"/>
          <w:color w:val="333333"/>
          <w:szCs w:val="32"/>
        </w:rPr>
      </w:pPr>
      <w:r>
        <w:rPr>
          <w:rFonts w:hint="eastAsia" w:ascii="仿宋_GB2312" w:hAnsi="Times New Roman" w:eastAsia="仿宋_GB2312" w:cs="Times New Roman"/>
          <w:color w:val="333333"/>
          <w:szCs w:val="32"/>
          <w:lang w:val="en-US" w:eastAsia="zh-CN"/>
        </w:rPr>
        <w:t>2</w:t>
      </w:r>
      <w:r>
        <w:rPr>
          <w:rFonts w:hint="eastAsia" w:ascii="仿宋_GB2312" w:hAnsi="Times New Roman" w:eastAsia="仿宋_GB2312" w:cs="Times New Roman"/>
          <w:color w:val="333333"/>
          <w:szCs w:val="32"/>
          <w:lang w:eastAsia="zh-CN"/>
        </w:rPr>
        <w:t>.投标</w:t>
      </w:r>
      <w:r>
        <w:rPr>
          <w:rFonts w:ascii="仿宋_GB2312" w:hAnsi="Times New Roman" w:eastAsia="仿宋_GB2312" w:cs="Times New Roman"/>
          <w:color w:val="333333"/>
          <w:szCs w:val="32"/>
        </w:rPr>
        <w:t>实行一轮报价，</w:t>
      </w:r>
      <w:r>
        <w:rPr>
          <w:rFonts w:hint="eastAsia" w:ascii="仿宋_GB2312" w:hAnsi="Times New Roman" w:eastAsia="仿宋_GB2312" w:cs="Times New Roman"/>
          <w:color w:val="333333"/>
          <w:szCs w:val="32"/>
          <w:lang w:eastAsia="zh-CN"/>
        </w:rPr>
        <w:t>经综合评定后</w:t>
      </w:r>
      <w:r>
        <w:rPr>
          <w:rFonts w:ascii="仿宋_GB2312" w:hAnsi="Times New Roman" w:eastAsia="仿宋_GB2312" w:cs="Times New Roman"/>
          <w:color w:val="333333"/>
          <w:szCs w:val="32"/>
        </w:rPr>
        <w:t>报价最低的选定为成交招标代理机构</w:t>
      </w:r>
      <w:r>
        <w:rPr>
          <w:rFonts w:hint="eastAsia" w:ascii="仿宋_GB2312" w:hAnsi="Times New Roman" w:eastAsia="仿宋_GB2312" w:cs="Times New Roman"/>
          <w:color w:val="333333"/>
          <w:szCs w:val="32"/>
          <w:lang w:eastAsia="zh-CN"/>
        </w:rPr>
        <w:t>（</w:t>
      </w:r>
      <w:r>
        <w:rPr>
          <w:rFonts w:hint="eastAsia" w:ascii="仿宋_GB2312" w:hAnsi="Times New Roman" w:eastAsia="仿宋_GB2312" w:cs="Times New Roman"/>
          <w:color w:val="333333"/>
          <w:szCs w:val="32"/>
          <w:lang w:val="en-US" w:eastAsia="zh-CN"/>
        </w:rPr>
        <w:t>投标人按照下浮比例填写报价</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w:t>
      </w:r>
    </w:p>
    <w:p>
      <w:pPr>
        <w:shd w:val="clear" w:color="auto" w:fill="FFFFFF"/>
        <w:spacing w:after="150"/>
        <w:ind w:firstLine="640"/>
        <w:rPr>
          <w:rFonts w:ascii="仿宋_GB2312" w:hAnsi="Times New Roman" w:eastAsia="仿宋_GB2312" w:cs="Times New Roman"/>
          <w:color w:val="333333"/>
          <w:szCs w:val="32"/>
          <w:lang w:eastAsia="zh-CN"/>
        </w:rPr>
      </w:pPr>
      <w:r>
        <w:rPr>
          <w:rFonts w:hint="eastAsia" w:ascii="仿宋_GB2312" w:hAnsi="Times New Roman" w:eastAsia="仿宋_GB2312" w:cs="Times New Roman"/>
          <w:color w:val="333333"/>
          <w:szCs w:val="32"/>
          <w:lang w:val="en-US" w:eastAsia="zh-CN"/>
        </w:rPr>
        <w:t>3</w:t>
      </w:r>
      <w:r>
        <w:rPr>
          <w:rFonts w:hint="eastAsia" w:ascii="仿宋_GB2312" w:hAnsi="Times New Roman" w:eastAsia="仿宋_GB2312" w:cs="Times New Roman"/>
          <w:color w:val="333333"/>
          <w:szCs w:val="32"/>
          <w:lang w:eastAsia="zh-CN"/>
        </w:rPr>
        <w:t>代理机构收费标准参照国家计委</w:t>
      </w:r>
      <w:r>
        <w:rPr>
          <w:rFonts w:ascii="仿宋_GB2312" w:hAnsi="Times New Roman" w:eastAsia="仿宋_GB2312" w:cs="Times New Roman"/>
          <w:color w:val="333333"/>
          <w:szCs w:val="32"/>
          <w:lang w:eastAsia="zh-CN"/>
        </w:rPr>
        <w:t>(计价格〔2002〕1980号)和国家发改委299号文（发改价格〔2015〕299号）规定</w:t>
      </w:r>
      <w:r>
        <w:rPr>
          <w:rFonts w:hint="eastAsia" w:ascii="仿宋_GB2312" w:hAnsi="Times New Roman" w:eastAsia="仿宋_GB2312" w:cs="Times New Roman"/>
          <w:color w:val="333333"/>
          <w:szCs w:val="32"/>
          <w:lang w:eastAsia="zh-CN"/>
        </w:rPr>
        <w:t>计算</w:t>
      </w:r>
      <w:r>
        <w:rPr>
          <w:rFonts w:ascii="仿宋_GB2312" w:hAnsi="Times New Roman" w:eastAsia="仿宋_GB2312" w:cs="Times New Roman"/>
          <w:color w:val="333333"/>
          <w:szCs w:val="32"/>
          <w:lang w:eastAsia="zh-CN"/>
        </w:rPr>
        <w:t>。</w:t>
      </w:r>
    </w:p>
    <w:p>
      <w:pPr>
        <w:shd w:val="clear" w:color="auto" w:fill="FFFFFF"/>
        <w:spacing w:after="150"/>
        <w:ind w:firstLine="640"/>
        <w:rPr>
          <w:rFonts w:hint="eastAsia" w:ascii="微软雅黑" w:hAnsi="微软雅黑" w:eastAsia="微软雅黑" w:cs="宋体"/>
          <w:color w:val="333333"/>
          <w:sz w:val="23"/>
          <w:szCs w:val="23"/>
        </w:rPr>
      </w:pPr>
      <w:r>
        <w:rPr>
          <w:rFonts w:hint="eastAsia" w:ascii="仿宋_GB2312" w:hAnsi="Times New Roman" w:eastAsia="仿宋_GB2312" w:cs="Times New Roman"/>
          <w:color w:val="333333"/>
          <w:szCs w:val="32"/>
          <w:lang w:val="en-US" w:eastAsia="zh-CN"/>
        </w:rPr>
        <w:t>4</w:t>
      </w:r>
      <w:r>
        <w:rPr>
          <w:rFonts w:ascii="仿宋_GB2312" w:hAnsi="Times New Roman" w:eastAsia="仿宋_GB2312" w:cs="Times New Roman"/>
          <w:color w:val="333333"/>
          <w:szCs w:val="32"/>
          <w:lang w:eastAsia="zh-CN"/>
        </w:rPr>
        <w:t>.</w:t>
      </w:r>
      <w:r>
        <w:rPr>
          <w:rFonts w:hint="eastAsia" w:ascii="仿宋_GB2312" w:hAnsi="Times New Roman" w:eastAsia="仿宋_GB2312" w:cs="Times New Roman"/>
          <w:color w:val="333333"/>
          <w:szCs w:val="32"/>
          <w:lang w:eastAsia="zh-CN"/>
        </w:rPr>
        <w:t>投标人报价优惠率有两家及其以上最低时，采用</w:t>
      </w:r>
      <w:r>
        <w:rPr>
          <w:rFonts w:hint="eastAsia" w:ascii="仿宋_GB2312" w:hAnsi="Times New Roman" w:eastAsia="仿宋_GB2312" w:cs="Times New Roman"/>
          <w:color w:val="333333"/>
          <w:szCs w:val="32"/>
          <w:lang w:val="en-US" w:eastAsia="zh-CN"/>
        </w:rPr>
        <w:t>第二轮报价，由</w:t>
      </w:r>
      <w:bookmarkStart w:id="2" w:name="_GoBack"/>
      <w:bookmarkEnd w:id="2"/>
      <w:r>
        <w:rPr>
          <w:rFonts w:hint="eastAsia" w:ascii="仿宋_GB2312" w:hAnsi="Times New Roman" w:eastAsia="仿宋_GB2312" w:cs="Times New Roman"/>
          <w:color w:val="333333"/>
          <w:szCs w:val="32"/>
          <w:lang w:val="en-US" w:eastAsia="zh-CN"/>
        </w:rPr>
        <w:t>第二轮报价最低者</w:t>
      </w:r>
      <w:r>
        <w:rPr>
          <w:rFonts w:hint="eastAsia" w:ascii="仿宋_GB2312" w:hAnsi="Times New Roman" w:eastAsia="仿宋_GB2312" w:cs="Times New Roman"/>
          <w:color w:val="333333"/>
          <w:szCs w:val="32"/>
          <w:lang w:eastAsia="zh-CN"/>
        </w:rPr>
        <w:t>中选。</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四、报名招标代理机构应当具有相应资质，且满足下列条件：</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1</w:t>
      </w:r>
      <w:r>
        <w:rPr>
          <w:rFonts w:hint="eastAsia" w:ascii="Times New Roman" w:hAnsi="Times New Roman" w:eastAsia="微软雅黑" w:cs="Times New Roman"/>
          <w:color w:val="333333"/>
          <w:szCs w:val="32"/>
          <w:lang w:eastAsia="zh-CN"/>
        </w:rPr>
        <w:t>.</w:t>
      </w:r>
      <w:r>
        <w:rPr>
          <w:rFonts w:ascii="仿宋_GB2312" w:hAnsi="Times New Roman" w:eastAsia="仿宋_GB2312" w:cs="Times New Roman"/>
          <w:color w:val="333333"/>
          <w:szCs w:val="32"/>
        </w:rPr>
        <w:t>具有独立的法人资格，且法人营业执照没有超过期限；</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2.</w:t>
      </w:r>
      <w:r>
        <w:rPr>
          <w:rFonts w:ascii="仿宋_GB2312" w:hAnsi="Times New Roman" w:eastAsia="仿宋_GB2312" w:cs="Times New Roman"/>
          <w:color w:val="333333"/>
          <w:szCs w:val="32"/>
        </w:rPr>
        <w:t>具有良好的商业信誉和健全的财务会计办法；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3.</w:t>
      </w:r>
      <w:r>
        <w:rPr>
          <w:rFonts w:ascii="仿宋_GB2312" w:hAnsi="Times New Roman" w:eastAsia="仿宋_GB2312" w:cs="Times New Roman"/>
          <w:color w:val="333333"/>
          <w:szCs w:val="32"/>
        </w:rPr>
        <w:t>具有履行合同的专业技术能力；</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4</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有依法缴纳税收的良好记录；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5</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参加本次</w:t>
      </w:r>
      <w:r>
        <w:rPr>
          <w:rFonts w:hint="eastAsia" w:ascii="仿宋_GB2312" w:hAnsi="Times New Roman" w:eastAsia="仿宋_GB2312" w:cs="Times New Roman"/>
          <w:color w:val="333333"/>
          <w:szCs w:val="32"/>
          <w:lang w:eastAsia="zh-CN"/>
        </w:rPr>
        <w:t>招标</w:t>
      </w:r>
      <w:r>
        <w:rPr>
          <w:rFonts w:ascii="仿宋_GB2312" w:hAnsi="Times New Roman" w:eastAsia="仿宋_GB2312" w:cs="Times New Roman"/>
          <w:color w:val="333333"/>
          <w:szCs w:val="32"/>
        </w:rPr>
        <w:t>活动前</w:t>
      </w:r>
      <w:r>
        <w:rPr>
          <w:rFonts w:ascii="Times New Roman" w:hAnsi="Times New Roman" w:eastAsia="微软雅黑" w:cs="Times New Roman"/>
          <w:color w:val="333333"/>
          <w:szCs w:val="32"/>
        </w:rPr>
        <w:t>3</w:t>
      </w:r>
      <w:r>
        <w:rPr>
          <w:rFonts w:ascii="仿宋_GB2312" w:hAnsi="Times New Roman" w:eastAsia="仿宋_GB2312" w:cs="Times New Roman"/>
          <w:color w:val="333333"/>
          <w:szCs w:val="32"/>
        </w:rPr>
        <w:t>年内，在经营活动中没有重大违法记录；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6</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法律、行政法规、规章规定的其他条件。</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五、报名资格文件递交要求：</w:t>
      </w:r>
    </w:p>
    <w:p>
      <w:pPr>
        <w:ind w:firstLine="640"/>
      </w:pPr>
      <w:r>
        <w:t>1</w:t>
      </w:r>
      <w:r>
        <w:rPr>
          <w:rFonts w:hint="eastAsia"/>
          <w:lang w:eastAsia="zh-CN"/>
        </w:rPr>
        <w:t>.投标书；</w:t>
      </w:r>
      <w:r>
        <w:t>招标代理机构简介</w:t>
      </w:r>
      <w:r>
        <w:rPr>
          <w:rFonts w:hint="eastAsia"/>
          <w:lang w:eastAsia="zh-CN"/>
        </w:rPr>
        <w:t>；</w:t>
      </w:r>
    </w:p>
    <w:p>
      <w:pPr>
        <w:ind w:firstLine="640"/>
        <w:rPr>
          <w:rFonts w:hint="eastAsia"/>
          <w:lang w:eastAsia="zh-CN"/>
        </w:rPr>
      </w:pPr>
      <w:r>
        <w:t>2.资格、资质证明文件（营业执照</w:t>
      </w:r>
      <w:r>
        <w:rPr>
          <w:rFonts w:hint="eastAsia"/>
          <w:lang w:eastAsia="zh-CN"/>
        </w:rPr>
        <w:t>复印件（三证合一）、</w:t>
      </w:r>
      <w:r>
        <w:t>政府采购代理资质证书</w:t>
      </w:r>
      <w:r>
        <w:rPr>
          <w:rFonts w:hint="eastAsia"/>
          <w:lang w:eastAsia="zh-CN"/>
        </w:rPr>
        <w:t>复印件</w:t>
      </w:r>
      <w:r>
        <w:t>、法定代表人和授权代理人身份证</w:t>
      </w:r>
      <w:r>
        <w:rPr>
          <w:rFonts w:hint="eastAsia"/>
          <w:lang w:eastAsia="zh-CN"/>
        </w:rPr>
        <w:t>复印件</w:t>
      </w:r>
      <w:r>
        <w:t>、法人代表授权委托书</w:t>
      </w:r>
      <w:r>
        <w:rPr>
          <w:rFonts w:hint="eastAsia"/>
          <w:lang w:eastAsia="zh-CN"/>
        </w:rPr>
        <w:t>；</w:t>
      </w:r>
      <w:r>
        <w:t>（以上资料复印件</w:t>
      </w:r>
      <w:r>
        <w:rPr>
          <w:rFonts w:hint="eastAsia"/>
          <w:lang w:eastAsia="zh-CN"/>
        </w:rPr>
        <w:t>需</w:t>
      </w:r>
      <w:r>
        <w:t>加盖公章）</w:t>
      </w:r>
      <w:r>
        <w:rPr>
          <w:rFonts w:hint="eastAsia"/>
          <w:lang w:eastAsia="zh-CN"/>
        </w:rPr>
        <w:t>;</w:t>
      </w:r>
    </w:p>
    <w:p>
      <w:pPr>
        <w:ind w:firstLine="640"/>
      </w:pPr>
      <w:r>
        <w:t>3．</w:t>
      </w:r>
      <w:r>
        <w:rPr>
          <w:rFonts w:hint="eastAsia"/>
        </w:rPr>
        <w:t>代理机构简介及服务承诺</w:t>
      </w:r>
      <w:r>
        <w:t>；</w:t>
      </w:r>
    </w:p>
    <w:p>
      <w:pPr>
        <w:shd w:val="clear" w:color="auto" w:fill="FFFFFF"/>
        <w:spacing w:after="150"/>
        <w:ind w:firstLine="640"/>
        <w:rPr>
          <w:rFonts w:hint="eastAsia"/>
          <w:lang w:eastAsia="zh-CN"/>
        </w:rPr>
      </w:pPr>
      <w:r>
        <w:t>4.招标代理机构认为需要提供的其他材料</w:t>
      </w:r>
      <w:r>
        <w:rPr>
          <w:rFonts w:hint="eastAsia"/>
          <w:lang w:eastAsia="zh-CN"/>
        </w:rPr>
        <w:t>。</w:t>
      </w:r>
    </w:p>
    <w:p>
      <w:pPr>
        <w:shd w:val="clear" w:color="auto" w:fill="FFFFFF"/>
        <w:spacing w:after="150"/>
        <w:ind w:firstLine="640"/>
        <w:rPr>
          <w:rFonts w:hint="eastAsia" w:ascii="仿宋_GB2312" w:hAnsi="Times New Roman" w:eastAsia="仿宋_GB2312" w:cs="Times New Roman"/>
          <w:color w:val="333333"/>
          <w:szCs w:val="32"/>
          <w:lang w:val="en-US" w:eastAsia="zh-CN"/>
        </w:rPr>
      </w:pPr>
      <w:r>
        <w:rPr>
          <w:rFonts w:ascii="黑体" w:hAnsi="黑体" w:eastAsia="黑体" w:cs="Times New Roman"/>
          <w:color w:val="333333"/>
          <w:szCs w:val="32"/>
        </w:rPr>
        <w:t>六、</w:t>
      </w:r>
      <w:r>
        <w:rPr>
          <w:rFonts w:hint="eastAsia" w:ascii="黑体" w:hAnsi="黑体" w:eastAsia="黑体" w:cs="Times New Roman"/>
          <w:color w:val="333333"/>
          <w:szCs w:val="32"/>
          <w:lang w:val="en-US" w:eastAsia="zh-CN"/>
        </w:rPr>
        <w:t>投标截止</w:t>
      </w:r>
      <w:r>
        <w:rPr>
          <w:rFonts w:ascii="黑体" w:hAnsi="黑体" w:eastAsia="黑体" w:cs="Times New Roman"/>
          <w:color w:val="333333"/>
          <w:szCs w:val="32"/>
        </w:rPr>
        <w:t>时间：</w:t>
      </w:r>
      <w:r>
        <w:rPr>
          <w:rFonts w:hint="eastAsia" w:ascii="仿宋_GB2312" w:hAnsi="Times New Roman" w:eastAsia="仿宋_GB2312" w:cs="Times New Roman"/>
          <w:color w:val="333333"/>
          <w:szCs w:val="32"/>
          <w:lang w:val="en-US" w:eastAsia="zh-CN"/>
        </w:rPr>
        <w:t>即日起</w:t>
      </w:r>
      <w:r>
        <w:rPr>
          <w:rFonts w:ascii="仿宋_GB2312" w:hAnsi="Times New Roman" w:eastAsia="仿宋_GB2312" w:cs="Times New Roman"/>
          <w:color w:val="333333"/>
          <w:szCs w:val="32"/>
        </w:rPr>
        <w:t>至20</w:t>
      </w:r>
      <w:r>
        <w:rPr>
          <w:rFonts w:hint="eastAsia" w:ascii="仿宋_GB2312" w:hAnsi="Times New Roman" w:eastAsia="仿宋_GB2312" w:cs="Times New Roman"/>
          <w:color w:val="333333"/>
          <w:szCs w:val="32"/>
        </w:rPr>
        <w:t>21</w:t>
      </w:r>
      <w:r>
        <w:rPr>
          <w:rFonts w:ascii="仿宋_GB2312" w:hAnsi="Times New Roman" w:eastAsia="仿宋_GB2312" w:cs="Times New Roman"/>
          <w:color w:val="333333"/>
          <w:szCs w:val="32"/>
        </w:rPr>
        <w:t>年</w:t>
      </w:r>
      <w:r>
        <w:rPr>
          <w:rFonts w:hint="eastAsia" w:ascii="仿宋_GB2312" w:hAnsi="Times New Roman" w:eastAsia="仿宋_GB2312" w:cs="Times New Roman"/>
          <w:color w:val="333333"/>
          <w:szCs w:val="32"/>
          <w:lang w:val="en-US" w:eastAsia="zh-CN"/>
        </w:rPr>
        <w:t>8</w:t>
      </w:r>
      <w:r>
        <w:rPr>
          <w:rFonts w:ascii="仿宋_GB2312" w:hAnsi="Times New Roman" w:eastAsia="仿宋_GB2312" w:cs="Times New Roman"/>
          <w:color w:val="333333"/>
          <w:szCs w:val="32"/>
        </w:rPr>
        <w:t>月</w:t>
      </w:r>
      <w:r>
        <w:rPr>
          <w:rFonts w:hint="eastAsia" w:ascii="仿宋_GB2312" w:hAnsi="Times New Roman" w:eastAsia="仿宋_GB2312" w:cs="Times New Roman"/>
          <w:color w:val="333333"/>
          <w:szCs w:val="32"/>
          <w:lang w:val="en-US" w:eastAsia="zh-CN"/>
        </w:rPr>
        <w:t>13</w:t>
      </w:r>
      <w:r>
        <w:rPr>
          <w:rFonts w:ascii="仿宋_GB2312" w:hAnsi="Times New Roman" w:eastAsia="仿宋_GB2312" w:cs="Times New Roman"/>
          <w:color w:val="333333"/>
          <w:szCs w:val="32"/>
        </w:rPr>
        <w:t>日</w:t>
      </w:r>
      <w:r>
        <w:rPr>
          <w:rFonts w:hint="eastAsia" w:ascii="仿宋_GB2312" w:hAnsi="Times New Roman" w:eastAsia="仿宋_GB2312" w:cs="Times New Roman"/>
          <w:color w:val="333333"/>
          <w:szCs w:val="32"/>
          <w:lang w:val="en-US" w:eastAsia="zh-CN"/>
        </w:rPr>
        <w:t>15:00:00</w:t>
      </w:r>
      <w:r>
        <w:rPr>
          <w:rFonts w:ascii="仿宋_GB2312" w:hAnsi="Times New Roman" w:eastAsia="仿宋_GB2312" w:cs="Times New Roman"/>
          <w:color w:val="333333"/>
          <w:szCs w:val="32"/>
        </w:rPr>
        <w:t>。</w:t>
      </w:r>
      <w:r>
        <w:rPr>
          <w:rFonts w:hint="eastAsia" w:ascii="仿宋_GB2312" w:hAnsi="Times New Roman" w:eastAsia="仿宋_GB2312" w:cs="Times New Roman"/>
          <w:color w:val="333333"/>
          <w:szCs w:val="32"/>
          <w:lang w:val="en-US" w:eastAsia="zh-CN"/>
        </w:rPr>
        <w:t xml:space="preserve"> </w:t>
      </w:r>
    </w:p>
    <w:p>
      <w:pPr>
        <w:shd w:val="clear" w:color="auto" w:fill="FFFFFF"/>
        <w:spacing w:after="150"/>
        <w:ind w:firstLine="640"/>
        <w:rPr>
          <w:rFonts w:ascii="微软雅黑" w:hAnsi="微软雅黑" w:eastAsia="微软雅黑" w:cs="宋体"/>
          <w:color w:val="333333"/>
          <w:sz w:val="23"/>
          <w:szCs w:val="23"/>
        </w:rPr>
      </w:pPr>
      <w:r>
        <w:rPr>
          <w:rFonts w:hint="eastAsia" w:ascii="仿宋_GB2312" w:hAnsi="Times New Roman" w:eastAsia="仿宋_GB2312" w:cs="Times New Roman"/>
          <w:color w:val="333333"/>
          <w:szCs w:val="32"/>
          <w:lang w:val="en-US" w:eastAsia="zh-CN"/>
        </w:rPr>
        <w:t>具体公示信息见遂宁市宸安投资有限公司网站（http://www.sncags.com）</w:t>
      </w:r>
      <w:r>
        <w:rPr>
          <w:rFonts w:hint="eastAsia"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七、</w:t>
      </w:r>
      <w:r>
        <w:rPr>
          <w:rFonts w:hint="eastAsia" w:ascii="黑体" w:hAnsi="黑体" w:eastAsia="黑体" w:cs="Times New Roman"/>
          <w:color w:val="333333"/>
          <w:szCs w:val="32"/>
          <w:lang w:val="en-US" w:eastAsia="zh-CN"/>
        </w:rPr>
        <w:t>开标</w:t>
      </w:r>
      <w:r>
        <w:rPr>
          <w:rFonts w:ascii="黑体" w:hAnsi="黑体" w:eastAsia="黑体" w:cs="Times New Roman"/>
          <w:color w:val="333333"/>
          <w:szCs w:val="32"/>
        </w:rPr>
        <w:t>地点和时间：</w:t>
      </w:r>
      <w:r>
        <w:rPr>
          <w:rFonts w:hint="eastAsia" w:ascii="仿宋_GB2312" w:hAnsi="Times New Roman" w:eastAsia="仿宋_GB2312" w:cs="Times New Roman"/>
          <w:color w:val="333333"/>
          <w:szCs w:val="32"/>
        </w:rPr>
        <w:t>遂宁市安居区安东大道安居现代装备制造产业园办公楼3楼</w:t>
      </w:r>
      <w:r>
        <w:rPr>
          <w:rFonts w:ascii="仿宋_GB2312" w:hAnsi="Times New Roman" w:eastAsia="仿宋_GB2312" w:cs="Times New Roman"/>
          <w:color w:val="333333"/>
          <w:szCs w:val="32"/>
        </w:rPr>
        <w:t>会议室，</w:t>
      </w:r>
      <w:r>
        <w:rPr>
          <w:rFonts w:hint="eastAsia" w:ascii="仿宋_GB2312" w:hAnsi="Times New Roman" w:eastAsia="仿宋_GB2312" w:cs="Times New Roman"/>
          <w:color w:val="333333"/>
          <w:szCs w:val="32"/>
          <w:lang w:val="en-US" w:eastAsia="zh-CN"/>
        </w:rPr>
        <w:t>开标时间2021年8月13日15:00:00</w:t>
      </w:r>
      <w:r>
        <w:rPr>
          <w:rFonts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八、联系方式</w:t>
      </w:r>
    </w:p>
    <w:p>
      <w:pPr>
        <w:shd w:val="clear" w:color="auto" w:fill="FFFFFF"/>
        <w:spacing w:after="150"/>
        <w:ind w:firstLine="640"/>
        <w:rPr>
          <w:rFonts w:ascii="微软雅黑" w:hAnsi="微软雅黑" w:eastAsia="微软雅黑" w:cs="宋体"/>
          <w:color w:val="333333"/>
          <w:sz w:val="23"/>
          <w:szCs w:val="23"/>
        </w:rPr>
      </w:pPr>
      <w:r>
        <w:rPr>
          <w:rFonts w:ascii="仿宋_GB2312" w:hAnsi="Times New Roman" w:eastAsia="仿宋_GB2312" w:cs="Times New Roman"/>
          <w:color w:val="333333"/>
          <w:szCs w:val="32"/>
        </w:rPr>
        <w:t>地址：</w:t>
      </w:r>
      <w:r>
        <w:rPr>
          <w:rFonts w:hint="eastAsia" w:ascii="仿宋_GB2312" w:hAnsi="Times New Roman" w:eastAsia="仿宋_GB2312" w:cs="Times New Roman"/>
          <w:color w:val="333333"/>
          <w:szCs w:val="32"/>
        </w:rPr>
        <w:t>遂宁市安居区安东大道安居现代装备制造产业园办公楼4楼4</w:t>
      </w:r>
      <w:r>
        <w:rPr>
          <w:rFonts w:ascii="仿宋_GB2312" w:hAnsi="Times New Roman" w:eastAsia="仿宋_GB2312" w:cs="Times New Roman"/>
          <w:color w:val="333333"/>
          <w:szCs w:val="32"/>
        </w:rPr>
        <w:t>12</w:t>
      </w:r>
      <w:r>
        <w:rPr>
          <w:rFonts w:hint="eastAsia" w:ascii="仿宋_GB2312" w:hAnsi="Times New Roman" w:eastAsia="仿宋_GB2312" w:cs="Times New Roman"/>
          <w:color w:val="333333"/>
          <w:szCs w:val="32"/>
        </w:rPr>
        <w:t>室。</w:t>
      </w:r>
    </w:p>
    <w:p>
      <w:pPr>
        <w:shd w:val="clear" w:color="auto" w:fill="FFFFFF"/>
        <w:spacing w:after="150"/>
        <w:ind w:firstLine="640"/>
        <w:rPr>
          <w:rFonts w:ascii="Times New Roman" w:hAnsi="Times New Roman" w:eastAsia="微软雅黑" w:cs="Times New Roman"/>
          <w:color w:val="333333"/>
          <w:szCs w:val="32"/>
        </w:rPr>
      </w:pPr>
      <w:r>
        <w:rPr>
          <w:rFonts w:ascii="仿宋_GB2312" w:hAnsi="Times New Roman" w:eastAsia="仿宋_GB2312" w:cs="Times New Roman"/>
          <w:color w:val="333333"/>
          <w:szCs w:val="32"/>
        </w:rPr>
        <w:t>联系人：</w:t>
      </w:r>
      <w:r>
        <w:rPr>
          <w:rFonts w:hint="eastAsia" w:ascii="仿宋_GB2312" w:hAnsi="Times New Roman" w:eastAsia="仿宋_GB2312" w:cs="Times New Roman"/>
          <w:color w:val="333333"/>
          <w:szCs w:val="32"/>
          <w:lang w:val="en-US" w:eastAsia="zh-CN"/>
        </w:rPr>
        <w:t>陆</w:t>
      </w:r>
      <w:r>
        <w:rPr>
          <w:rFonts w:hint="eastAsia" w:ascii="仿宋_GB2312" w:hAnsi="Times New Roman" w:eastAsia="仿宋_GB2312" w:cs="Times New Roman"/>
          <w:color w:val="333333"/>
          <w:szCs w:val="32"/>
          <w:lang w:eastAsia="zh-CN"/>
        </w:rPr>
        <w:t xml:space="preserve">先生 </w:t>
      </w:r>
      <w:r>
        <w:rPr>
          <w:rFonts w:ascii="仿宋_GB2312" w:hAnsi="Times New Roman" w:eastAsia="仿宋_GB2312" w:cs="Times New Roman"/>
          <w:color w:val="333333"/>
          <w:szCs w:val="32"/>
          <w:lang w:eastAsia="zh-CN"/>
        </w:rPr>
        <w:t xml:space="preserve"> </w:t>
      </w:r>
      <w:r>
        <w:rPr>
          <w:rFonts w:ascii="仿宋_GB2312" w:hAnsi="Times New Roman" w:eastAsia="仿宋_GB2312" w:cs="Times New Roman"/>
          <w:color w:val="333333"/>
          <w:szCs w:val="32"/>
        </w:rPr>
        <w:t>联系电话：</w:t>
      </w:r>
      <w:r>
        <w:rPr>
          <w:rFonts w:ascii="Times New Roman" w:hAnsi="Times New Roman" w:eastAsia="微软雅黑" w:cs="Times New Roman"/>
          <w:color w:val="333333"/>
          <w:szCs w:val="32"/>
        </w:rPr>
        <w:t>0825-8538155</w:t>
      </w:r>
    </w:p>
    <w:p>
      <w:pPr>
        <w:shd w:val="clear" w:color="auto" w:fill="FFFFFF"/>
        <w:spacing w:after="150"/>
        <w:ind w:firstLine="640"/>
        <w:rPr>
          <w:rFonts w:ascii="Times New Roman" w:hAnsi="Times New Roman" w:eastAsia="微软雅黑" w:cs="Times New Roman"/>
          <w:color w:val="333333"/>
          <w:szCs w:val="32"/>
        </w:rPr>
      </w:pPr>
      <w:r>
        <w:rPr>
          <w:rFonts w:ascii="仿宋_GB2312" w:hAnsi="Times New Roman" w:eastAsia="仿宋_GB2312" w:cs="Times New Roman"/>
          <w:color w:val="333333"/>
          <w:szCs w:val="32"/>
        </w:rPr>
        <w:t>电子邮件</w:t>
      </w:r>
      <w:r>
        <w:rPr>
          <w:rFonts w:ascii="仿宋_GB2312" w:hAnsi="Times New Roman" w:eastAsia="仿宋_GB2312" w:cs="Times New Roman"/>
          <w:szCs w:val="32"/>
        </w:rPr>
        <w:t>：</w:t>
      </w:r>
      <w:r>
        <w:fldChar w:fldCharType="begin"/>
      </w:r>
      <w:r>
        <w:instrText xml:space="preserve"> HYPERLINK "mailto:891750913@qq.com" </w:instrText>
      </w:r>
      <w:r>
        <w:fldChar w:fldCharType="separate"/>
      </w:r>
      <w:r>
        <w:rPr>
          <w:rFonts w:hint="eastAsia"/>
          <w:lang w:val="en-US" w:eastAsia="zh-CN"/>
        </w:rPr>
        <w:t>415720202</w:t>
      </w:r>
      <w:r>
        <w:rPr>
          <w:rStyle w:val="32"/>
          <w:rFonts w:ascii="Times New Roman" w:hAnsi="Times New Roman" w:eastAsia="微软雅黑" w:cs="Times New Roman"/>
          <w:color w:val="auto"/>
          <w:szCs w:val="32"/>
        </w:rPr>
        <w:t>@qq.com</w:t>
      </w:r>
      <w:r>
        <w:rPr>
          <w:rStyle w:val="32"/>
          <w:rFonts w:ascii="Times New Roman" w:hAnsi="Times New Roman" w:eastAsia="微软雅黑" w:cs="Times New Roman"/>
          <w:color w:val="auto"/>
          <w:szCs w:val="32"/>
        </w:rPr>
        <w:fldChar w:fldCharType="end"/>
      </w:r>
    </w:p>
    <w:p>
      <w:pPr>
        <w:shd w:val="clear" w:color="auto" w:fill="FFFFFF"/>
        <w:spacing w:after="150"/>
        <w:ind w:firstLine="640"/>
        <w:rPr>
          <w:rFonts w:ascii="Times New Roman" w:hAnsi="Times New Roman" w:eastAsia="微软雅黑" w:cs="Times New Roman"/>
          <w:color w:val="333333"/>
          <w:szCs w:val="32"/>
        </w:rPr>
      </w:pPr>
    </w:p>
    <w:p>
      <w:pPr>
        <w:shd w:val="clear" w:color="auto" w:fill="FFFFFF"/>
        <w:spacing w:after="150"/>
        <w:ind w:firstLine="640"/>
        <w:rPr>
          <w:rFonts w:ascii="Times New Roman" w:hAnsi="Times New Roman" w:eastAsia="微软雅黑" w:cs="Times New Roman"/>
          <w:color w:val="333333"/>
          <w:szCs w:val="32"/>
        </w:rPr>
      </w:pPr>
    </w:p>
    <w:p>
      <w:pPr>
        <w:shd w:val="clear" w:color="auto" w:fill="FFFFFF"/>
        <w:spacing w:after="150"/>
        <w:ind w:firstLine="640"/>
        <w:jc w:val="right"/>
      </w:pPr>
      <w:r>
        <w:rPr>
          <w:rFonts w:hint="eastAsia"/>
        </w:rPr>
        <w:t>遂宁市宸安投资有限公司</w:t>
      </w:r>
    </w:p>
    <w:p>
      <w:pPr>
        <w:shd w:val="clear" w:color="auto" w:fill="FFFFFF"/>
        <w:wordWrap w:val="0"/>
        <w:spacing w:after="150"/>
        <w:ind w:firstLine="640"/>
        <w:jc w:val="right"/>
        <w:rPr>
          <w:lang w:eastAsia="zh-CN"/>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sectPr>
      </w:pPr>
      <w:r>
        <w:rPr>
          <w:rFonts w:hint="eastAsia"/>
          <w:lang w:eastAsia="zh-CN"/>
        </w:rPr>
        <w:t>2</w:t>
      </w:r>
      <w:r>
        <w:rPr>
          <w:lang w:eastAsia="zh-CN"/>
        </w:rPr>
        <w:t>021</w:t>
      </w:r>
      <w:r>
        <w:rPr>
          <w:rFonts w:hint="eastAsia"/>
          <w:lang w:eastAsia="zh-CN"/>
        </w:rPr>
        <w:t>年</w:t>
      </w:r>
      <w:r>
        <w:rPr>
          <w:rFonts w:hint="eastAsia"/>
          <w:lang w:val="en-US" w:eastAsia="zh-CN"/>
        </w:rPr>
        <w:t>8</w:t>
      </w:r>
      <w:r>
        <w:rPr>
          <w:rFonts w:hint="eastAsia"/>
          <w:lang w:eastAsia="zh-CN"/>
        </w:rPr>
        <w:t>月</w:t>
      </w:r>
      <w:r>
        <w:rPr>
          <w:rFonts w:hint="eastAsia"/>
          <w:lang w:val="en-US" w:eastAsia="zh-CN"/>
        </w:rPr>
        <w:t>10</w:t>
      </w:r>
      <w:r>
        <w:rPr>
          <w:rFonts w:hint="eastAsia"/>
          <w:lang w:eastAsia="zh-CN"/>
        </w:rPr>
        <w:t>日</w:t>
      </w:r>
      <w:bookmarkStart w:id="1" w:name="_Toc71633525"/>
    </w:p>
    <w:p>
      <w:pPr>
        <w:shd w:val="clear" w:color="auto" w:fill="FFFFFF"/>
        <w:spacing w:after="150"/>
        <w:ind w:firstLine="0" w:firstLineChars="0"/>
        <w:rPr>
          <w:b/>
        </w:rPr>
      </w:pPr>
      <w:r>
        <w:rPr>
          <w:b/>
        </w:rPr>
        <w:t>投标文件格式</w:t>
      </w:r>
      <w:bookmarkEnd w:id="1"/>
    </w:p>
    <w:p>
      <w:pPr>
        <w:ind w:firstLine="0" w:firstLineChars="0"/>
      </w:pPr>
      <w:r>
        <w:t>附件1：</w:t>
      </w:r>
    </w:p>
    <w:p>
      <w:pPr>
        <w:ind w:firstLine="720"/>
        <w:jc w:val="center"/>
        <w:rPr>
          <w:rFonts w:ascii="黑体" w:hAnsi="黑体" w:eastAsia="黑体"/>
          <w:sz w:val="36"/>
        </w:rPr>
      </w:pPr>
      <w:r>
        <w:rPr>
          <w:rFonts w:ascii="黑体" w:hAnsi="黑体" w:eastAsia="黑体"/>
          <w:sz w:val="36"/>
        </w:rPr>
        <w:t>投   标   书</w:t>
      </w:r>
    </w:p>
    <w:p>
      <w:pPr>
        <w:ind w:firstLine="0" w:firstLineChars="0"/>
        <w:rPr>
          <w:u w:val="single"/>
        </w:rPr>
      </w:pPr>
      <w:r>
        <w:t>致：</w:t>
      </w:r>
      <w:r>
        <w:rPr>
          <w:rFonts w:hint="eastAsia"/>
          <w:u w:val="single"/>
          <w:lang w:eastAsia="zh-CN"/>
        </w:rPr>
        <w:t>_</w:t>
      </w:r>
      <w:r>
        <w:rPr>
          <w:u w:val="single"/>
          <w:lang w:eastAsia="zh-CN"/>
        </w:rPr>
        <w:t>_________</w:t>
      </w:r>
    </w:p>
    <w:p>
      <w:pPr>
        <w:ind w:firstLine="640"/>
      </w:pPr>
      <w:r>
        <w:t>我们收到了</w:t>
      </w:r>
      <w:r>
        <w:rPr>
          <w:rFonts w:hint="eastAsia"/>
          <w:u w:val="single"/>
          <w:lang w:eastAsia="zh-CN"/>
        </w:rPr>
        <w:t xml:space="preserve"> 晨光博达项目专线建设工程 </w:t>
      </w:r>
      <w:r>
        <w:t>招标代理服务招标文件，经详细研究，我们决定参加该项目投标活动并投标，我们郑重声明以下诸点并负法律责任。</w:t>
      </w:r>
    </w:p>
    <w:p>
      <w:pPr>
        <w:ind w:firstLine="640"/>
      </w:pPr>
      <w:r>
        <w:t>（1）我方授权_______（职务：_____）作为全权代表负责解释投标文件及处理有关事宜。</w:t>
      </w:r>
    </w:p>
    <w:p>
      <w:pPr>
        <w:ind w:firstLine="640"/>
      </w:pPr>
      <w:r>
        <w:t>（2）我们愿意接受招标文件中的所有条款和要求，并按照招标文件中的所有条款和要求，提供服务，招标代理费优惠率：____% 。</w:t>
      </w:r>
    </w:p>
    <w:p>
      <w:pPr>
        <w:ind w:firstLine="640"/>
      </w:pPr>
      <w:r>
        <w:t>（3）如果我们中标，我们保证按招标文件的要求和采购人签订合同。</w:t>
      </w:r>
    </w:p>
    <w:p>
      <w:pPr>
        <w:ind w:firstLine="640"/>
      </w:pPr>
      <w:r>
        <w:t>（4）我们同意按招标文件中的规定，认定本投标文件的有效期为投标文件递交截止日期结束后30天内。如果中标，有效期延长至合同终止日止。</w:t>
      </w:r>
    </w:p>
    <w:p>
      <w:pPr>
        <w:ind w:firstLine="640"/>
      </w:pPr>
      <w:r>
        <w:t>（5）我们愿提供招标文件中要求的所有文件资料。</w:t>
      </w:r>
    </w:p>
    <w:p>
      <w:pPr>
        <w:ind w:firstLine="640"/>
      </w:pPr>
      <w:r>
        <w:t>（6）我们承认并理解贵方不一定接受最低投标费率。</w:t>
      </w:r>
    </w:p>
    <w:p>
      <w:pPr>
        <w:ind w:firstLine="640"/>
      </w:pPr>
      <w:r>
        <w:t>（7）我们已经详细审核了全部招标文件，包括修改、补充的文件（如果有的话）和参考资料，我们完全理解并同意放弃对这方面有不明及误解的权利。</w:t>
      </w:r>
    </w:p>
    <w:p>
      <w:pPr>
        <w:ind w:firstLine="640"/>
      </w:pPr>
      <w:r>
        <w:t>（8）如果我们中标，我们同意从投标之日起至此次委托时间结束均遵守本投标文件，在此期限期满之前的任何时间，本投标文件一直对我们具有约束力。</w:t>
      </w:r>
    </w:p>
    <w:p>
      <w:pPr>
        <w:ind w:firstLine="640"/>
      </w:pPr>
      <w:r>
        <w:t>（9）在制定和执行正式合同之前，本投标文件连同中标通知书，应构成我们双方之间有约束力的合同。</w:t>
      </w:r>
    </w:p>
    <w:p>
      <w:pPr>
        <w:ind w:firstLine="640"/>
      </w:pPr>
      <w:r>
        <w:t>（10）我们愿按《中华人民共和国</w:t>
      </w:r>
      <w:r>
        <w:rPr>
          <w:rFonts w:hint="eastAsia"/>
          <w:lang w:eastAsia="zh-CN"/>
        </w:rPr>
        <w:t>民法典</w:t>
      </w:r>
      <w:r>
        <w:t>》履行自己的全部责任。</w:t>
      </w:r>
    </w:p>
    <w:p>
      <w:pPr>
        <w:ind w:firstLine="640"/>
      </w:pPr>
      <w:r>
        <w:t>（11）我方保证投标文件中的所有资料均为真实、有效的，如有虚假，我方承诺投标文件无效并愿承担一切责任。</w:t>
      </w:r>
    </w:p>
    <w:p>
      <w:pPr>
        <w:ind w:firstLine="640"/>
      </w:pPr>
      <w:r>
        <w:t>（12）与本投标有关的正式通讯地址：</w:t>
      </w:r>
    </w:p>
    <w:p>
      <w:pPr>
        <w:ind w:firstLine="640"/>
      </w:pPr>
      <w:r>
        <w:t>地址：</w:t>
      </w:r>
      <w:r>
        <w:rPr>
          <w:rFonts w:hint="eastAsia"/>
          <w:lang w:eastAsia="zh-CN"/>
        </w:rPr>
        <w:t xml:space="preserve"> </w:t>
      </w:r>
      <w:r>
        <w:rPr>
          <w:lang w:eastAsia="zh-CN"/>
        </w:rPr>
        <w:t xml:space="preserve">            </w:t>
      </w:r>
      <w:r>
        <w:t xml:space="preserve">   邮编：</w:t>
      </w:r>
    </w:p>
    <w:p>
      <w:pPr>
        <w:ind w:firstLine="640"/>
      </w:pPr>
      <w:r>
        <w:t>电话：                传真：</w:t>
      </w:r>
    </w:p>
    <w:p>
      <w:pPr>
        <w:ind w:firstLine="640"/>
      </w:pPr>
      <w:r>
        <w:t xml:space="preserve"> </w:t>
      </w:r>
    </w:p>
    <w:p>
      <w:pPr>
        <w:ind w:firstLine="640"/>
      </w:pPr>
      <w:r>
        <w:t>投标人名称：                      （盖章）</w:t>
      </w:r>
    </w:p>
    <w:p>
      <w:pPr>
        <w:ind w:firstLine="640"/>
      </w:pPr>
      <w:r>
        <w:t>法人授权代表（签字或盖章）：</w:t>
      </w:r>
    </w:p>
    <w:p>
      <w:pPr>
        <w:ind w:firstLine="640"/>
        <w:jc w:val="right"/>
      </w:pPr>
      <w:r>
        <w:t>年   月   日</w:t>
      </w:r>
    </w:p>
    <w:p>
      <w:pPr>
        <w:spacing w:after="200" w:line="240" w:lineRule="auto"/>
        <w:ind w:firstLine="0" w:firstLineChars="0"/>
      </w:pPr>
      <w:r>
        <w:br w:type="page"/>
      </w:r>
    </w:p>
    <w:p>
      <w:pPr>
        <w:ind w:firstLine="0" w:firstLineChars="0"/>
      </w:pPr>
      <w:r>
        <w:t>附件2：</w:t>
      </w:r>
    </w:p>
    <w:p>
      <w:pPr>
        <w:ind w:firstLine="0" w:firstLineChars="0"/>
        <w:jc w:val="center"/>
        <w:rPr>
          <w:rFonts w:ascii="黑体" w:hAnsi="黑体" w:eastAsia="黑体"/>
          <w:sz w:val="36"/>
        </w:rPr>
      </w:pPr>
      <w:r>
        <w:rPr>
          <w:rFonts w:ascii="黑体" w:hAnsi="黑体" w:eastAsia="黑体"/>
          <w:sz w:val="36"/>
        </w:rPr>
        <w:t>开标一览表</w:t>
      </w:r>
    </w:p>
    <w:p>
      <w:pPr>
        <w:ind w:firstLine="640"/>
      </w:pPr>
      <w:r>
        <w:t>投标人名称:</w:t>
      </w:r>
    </w:p>
    <w:tbl>
      <w:tblPr>
        <w:tblStyle w:val="40"/>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73"/>
        <w:gridCol w:w="2441"/>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67" w:type="dxa"/>
            <w:vAlign w:val="center"/>
          </w:tcPr>
          <w:p>
            <w:pPr>
              <w:ind w:firstLine="0" w:firstLineChars="0"/>
              <w:jc w:val="center"/>
            </w:pPr>
            <w:r>
              <w:t>序号</w:t>
            </w:r>
          </w:p>
        </w:tc>
        <w:tc>
          <w:tcPr>
            <w:tcW w:w="3473" w:type="dxa"/>
            <w:vAlign w:val="center"/>
          </w:tcPr>
          <w:p>
            <w:pPr>
              <w:ind w:firstLine="640"/>
              <w:jc w:val="both"/>
            </w:pPr>
            <w:r>
              <w:t>项目名称</w:t>
            </w:r>
          </w:p>
        </w:tc>
        <w:tc>
          <w:tcPr>
            <w:tcW w:w="2441" w:type="dxa"/>
            <w:vAlign w:val="center"/>
          </w:tcPr>
          <w:p>
            <w:pPr>
              <w:ind w:firstLine="0" w:firstLineChars="0"/>
              <w:jc w:val="center"/>
            </w:pPr>
            <w:r>
              <w:t>投标报价</w:t>
            </w:r>
            <w:r>
              <w:rPr>
                <w:sz w:val="28"/>
                <w:szCs w:val="22"/>
              </w:rPr>
              <w:t>（</w:t>
            </w:r>
            <w:r>
              <w:rPr>
                <w:rFonts w:hint="eastAsia"/>
                <w:sz w:val="28"/>
                <w:szCs w:val="22"/>
                <w:lang w:val="en-US" w:eastAsia="zh-CN"/>
              </w:rPr>
              <w:t>按照控制价填写下浮比例</w:t>
            </w:r>
            <w:r>
              <w:rPr>
                <w:sz w:val="28"/>
                <w:szCs w:val="22"/>
              </w:rPr>
              <w:t>）</w:t>
            </w:r>
          </w:p>
        </w:tc>
        <w:tc>
          <w:tcPr>
            <w:tcW w:w="2917" w:type="dxa"/>
            <w:vAlign w:val="center"/>
          </w:tcPr>
          <w:p>
            <w:pPr>
              <w:ind w:firstLine="0" w:firstLineChars="0"/>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867" w:type="dxa"/>
            <w:vAlign w:val="center"/>
          </w:tcPr>
          <w:p>
            <w:pPr>
              <w:ind w:firstLine="0" w:firstLineChars="0"/>
              <w:jc w:val="center"/>
            </w:pPr>
            <w:r>
              <w:rPr>
                <w:sz w:val="28"/>
              </w:rPr>
              <w:t>1</w:t>
            </w:r>
          </w:p>
        </w:tc>
        <w:tc>
          <w:tcPr>
            <w:tcW w:w="3473" w:type="dxa"/>
            <w:vAlign w:val="center"/>
          </w:tcPr>
          <w:p>
            <w:pPr>
              <w:ind w:firstLine="0" w:firstLineChars="0"/>
              <w:jc w:val="center"/>
              <w:rPr>
                <w:rFonts w:hint="eastAsia" w:eastAsia="仿宋"/>
                <w:sz w:val="28"/>
                <w:lang w:eastAsia="zh-CN"/>
              </w:rPr>
            </w:pPr>
            <w:r>
              <w:rPr>
                <w:rFonts w:hint="eastAsia" w:ascii="仿宋_GB2312" w:hAnsi="微软雅黑" w:eastAsia="仿宋_GB2312" w:cs="宋体"/>
                <w:color w:val="333333"/>
                <w:sz w:val="28"/>
                <w:szCs w:val="32"/>
                <w:lang w:eastAsia="zh-CN"/>
              </w:rPr>
              <w:t>晨光博达项目专线建设工程</w:t>
            </w:r>
          </w:p>
        </w:tc>
        <w:tc>
          <w:tcPr>
            <w:tcW w:w="2441" w:type="dxa"/>
            <w:vAlign w:val="center"/>
          </w:tcPr>
          <w:p>
            <w:pPr>
              <w:ind w:firstLine="640"/>
              <w:jc w:val="center"/>
            </w:pPr>
          </w:p>
        </w:tc>
        <w:tc>
          <w:tcPr>
            <w:tcW w:w="2917" w:type="dxa"/>
            <w:vAlign w:val="center"/>
          </w:tcPr>
          <w:p>
            <w:pPr>
              <w:ind w:left="0" w:leftChars="0" w:firstLine="0" w:firstLineChars="0"/>
              <w:jc w:val="both"/>
              <w:rPr>
                <w:rFonts w:hint="default" w:eastAsia="仿宋"/>
                <w:lang w:val="en-US" w:eastAsia="zh-CN"/>
              </w:rPr>
            </w:pPr>
            <w:r>
              <w:rPr>
                <w:rFonts w:hint="eastAsia"/>
                <w:sz w:val="24"/>
                <w:szCs w:val="21"/>
                <w:lang w:val="en-US" w:eastAsia="zh-CN"/>
              </w:rPr>
              <w:t>控制价计算</w:t>
            </w:r>
            <w:r>
              <w:rPr>
                <w:rFonts w:hint="default" w:eastAsia="仿宋"/>
                <w:sz w:val="24"/>
                <w:szCs w:val="21"/>
                <w:lang w:val="en-US" w:eastAsia="zh-CN"/>
              </w:rPr>
              <w:t>参照国家计委(计价格〔2002〕1980号)和国家发改委299号文（发改价格〔2015〕299号）规定计算</w:t>
            </w:r>
          </w:p>
        </w:tc>
      </w:tr>
    </w:tbl>
    <w:p>
      <w:pPr>
        <w:ind w:firstLine="640"/>
      </w:pPr>
    </w:p>
    <w:p>
      <w:pPr>
        <w:ind w:firstLine="640"/>
      </w:pPr>
    </w:p>
    <w:p>
      <w:pPr>
        <w:ind w:firstLine="640"/>
      </w:pPr>
    </w:p>
    <w:p>
      <w:pPr>
        <w:ind w:firstLine="640"/>
      </w:pPr>
    </w:p>
    <w:p>
      <w:pPr>
        <w:ind w:firstLine="640"/>
      </w:pPr>
      <w:r>
        <w:t>投标代表人签字 :</w:t>
      </w:r>
    </w:p>
    <w:p>
      <w:pPr>
        <w:ind w:firstLine="640"/>
      </w:pPr>
    </w:p>
    <w:p>
      <w:pPr>
        <w:ind w:firstLine="640"/>
      </w:pPr>
      <w:r>
        <w:t>投标单位公章</w:t>
      </w:r>
    </w:p>
    <w:p>
      <w:pPr>
        <w:ind w:firstLine="640"/>
      </w:pPr>
    </w:p>
    <w:p>
      <w:pPr>
        <w:ind w:firstLine="640"/>
      </w:pPr>
      <w:r>
        <w:t>日期:</w:t>
      </w:r>
    </w:p>
    <w:p>
      <w:pPr>
        <w:spacing w:after="200" w:line="240" w:lineRule="auto"/>
        <w:ind w:firstLine="0" w:firstLineChars="0"/>
      </w:pPr>
      <w:r>
        <w:br w:type="page"/>
      </w:r>
    </w:p>
    <w:p>
      <w:pPr>
        <w:ind w:firstLine="0" w:firstLineChars="0"/>
      </w:pPr>
      <w:r>
        <w:t>附件3：</w:t>
      </w:r>
    </w:p>
    <w:p>
      <w:pPr>
        <w:ind w:firstLine="720"/>
        <w:jc w:val="center"/>
        <w:rPr>
          <w:rFonts w:ascii="黑体" w:hAnsi="黑体" w:eastAsia="黑体"/>
          <w:sz w:val="36"/>
        </w:rPr>
      </w:pPr>
      <w:r>
        <w:rPr>
          <w:rFonts w:ascii="黑体" w:hAnsi="黑体" w:eastAsia="黑体"/>
          <w:sz w:val="36"/>
        </w:rPr>
        <w:t>法定代表人授权委托书</w:t>
      </w:r>
    </w:p>
    <w:p>
      <w:pPr>
        <w:ind w:firstLine="720"/>
        <w:jc w:val="center"/>
        <w:rPr>
          <w:rFonts w:ascii="黑体" w:hAnsi="黑体" w:eastAsia="黑体"/>
          <w:sz w:val="36"/>
        </w:rPr>
      </w:pPr>
    </w:p>
    <w:p>
      <w:pPr>
        <w:ind w:firstLine="640"/>
      </w:pPr>
      <w:r>
        <w:t>本授权委托书声明：注册于________（注册地址）的公司的在下面签字的______（法定代表人姓名、职务）代表我公司现授权我单位的在下面签字的______（被授权人的姓名、职务）为本公司的合法代理人，以本公司名义参加</w:t>
      </w:r>
      <w:r>
        <w:rPr>
          <w:u w:val="single"/>
          <w:lang w:eastAsia="zh-CN"/>
        </w:rPr>
        <w:t xml:space="preserve"> </w:t>
      </w:r>
      <w:r>
        <w:rPr>
          <w:rFonts w:hint="eastAsia"/>
          <w:u w:val="single"/>
          <w:lang w:eastAsia="zh-CN"/>
        </w:rPr>
        <w:t>晨光博达项目专线建设工程</w:t>
      </w:r>
      <w:r>
        <w:rPr>
          <w:u w:val="single"/>
          <w:lang w:eastAsia="zh-CN"/>
        </w:rPr>
        <w:t>招标代理</w:t>
      </w:r>
      <w:r>
        <w:rPr>
          <w:rFonts w:hint="eastAsia"/>
          <w:u w:val="single"/>
          <w:lang w:eastAsia="zh-CN"/>
        </w:rPr>
        <w:t xml:space="preserve"> </w:t>
      </w:r>
      <w:r>
        <w:rPr>
          <w:u w:val="single"/>
        </w:rPr>
        <w:t xml:space="preserve">招标代理服务项目 </w:t>
      </w:r>
      <w:r>
        <w:t>的投标活动。代理人在开标、评标、合同谈判过程中签署的一切文件和处理与之有关的一切事务，我均予以承认。</w:t>
      </w:r>
    </w:p>
    <w:p>
      <w:pPr>
        <w:ind w:firstLine="640"/>
      </w:pPr>
      <w:r>
        <w:t>代理人无权转让委托权，特此委托。本授权书于_____年___月</w:t>
      </w:r>
      <w:r>
        <w:rPr>
          <w:rFonts w:hint="eastAsia"/>
          <w:lang w:eastAsia="zh-CN"/>
        </w:rPr>
        <w:t>_</w:t>
      </w:r>
      <w:r>
        <w:rPr>
          <w:lang w:eastAsia="zh-CN"/>
        </w:rPr>
        <w:t>__</w:t>
      </w:r>
      <w:r>
        <w:t>日签字生效，特此声明。</w:t>
      </w:r>
    </w:p>
    <w:p>
      <w:pPr>
        <w:ind w:firstLine="640"/>
      </w:pPr>
    </w:p>
    <w:p>
      <w:pPr>
        <w:ind w:firstLine="640"/>
      </w:pPr>
    </w:p>
    <w:p>
      <w:pPr>
        <w:ind w:firstLine="640"/>
      </w:pPr>
    </w:p>
    <w:p>
      <w:pPr>
        <w:ind w:firstLine="640"/>
      </w:pPr>
      <w:r>
        <w:t>代理人（被授权人）签字或盖章：    性别：    年龄：</w:t>
      </w:r>
    </w:p>
    <w:p>
      <w:pPr>
        <w:ind w:firstLine="640"/>
      </w:pPr>
      <w:r>
        <w:t>单位：                 职务：    身份证号：</w:t>
      </w:r>
    </w:p>
    <w:p>
      <w:pPr>
        <w:ind w:firstLine="640"/>
      </w:pPr>
      <w:r>
        <w:t>法定代表人（签字或盖章）：</w:t>
      </w:r>
    </w:p>
    <w:p>
      <w:pPr>
        <w:ind w:firstLine="640"/>
        <w:rPr>
          <w:lang w:eastAsia="zh-CN"/>
        </w:rPr>
      </w:pPr>
      <w:r>
        <w:t>投标单位（盖章）：           日期</w:t>
      </w:r>
      <w:r>
        <w:rPr>
          <w:rFonts w:hint="eastAsia"/>
          <w:lang w:eastAsia="zh-CN"/>
        </w:rPr>
        <w:t>：</w:t>
      </w:r>
    </w:p>
    <w:p>
      <w:pPr>
        <w:spacing w:after="200" w:line="240" w:lineRule="auto"/>
        <w:ind w:firstLine="0" w:firstLineChars="0"/>
      </w:pPr>
      <w:r>
        <w:br w:type="page"/>
      </w:r>
    </w:p>
    <w:p>
      <w:pPr>
        <w:ind w:firstLine="0" w:firstLineChars="0"/>
      </w:pPr>
      <w:r>
        <w:t>附件4：</w:t>
      </w:r>
    </w:p>
    <w:p>
      <w:pPr>
        <w:ind w:firstLine="0" w:firstLineChars="0"/>
        <w:jc w:val="center"/>
        <w:rPr>
          <w:rFonts w:ascii="黑体" w:hAnsi="黑体" w:eastAsia="黑体"/>
          <w:sz w:val="36"/>
        </w:rPr>
      </w:pPr>
      <w:r>
        <w:rPr>
          <w:rFonts w:ascii="黑体" w:hAnsi="黑体" w:eastAsia="黑体"/>
          <w:sz w:val="36"/>
        </w:rPr>
        <w:t xml:space="preserve">承 </w:t>
      </w:r>
      <w:r>
        <w:rPr>
          <w:rFonts w:ascii="Calibri" w:hAnsi="Calibri" w:eastAsia="黑体" w:cs="Calibri"/>
          <w:sz w:val="36"/>
        </w:rPr>
        <w:t xml:space="preserve"> </w:t>
      </w:r>
      <w:r>
        <w:rPr>
          <w:rFonts w:ascii="黑体" w:hAnsi="黑体" w:eastAsia="黑体"/>
          <w:sz w:val="36"/>
        </w:rPr>
        <w:t xml:space="preserve"> 诺 </w:t>
      </w:r>
      <w:r>
        <w:rPr>
          <w:rFonts w:ascii="Calibri" w:hAnsi="Calibri" w:eastAsia="黑体" w:cs="Calibri"/>
          <w:sz w:val="36"/>
        </w:rPr>
        <w:t xml:space="preserve"> </w:t>
      </w:r>
      <w:r>
        <w:rPr>
          <w:rFonts w:ascii="黑体" w:hAnsi="黑体" w:eastAsia="黑体"/>
          <w:sz w:val="36"/>
        </w:rPr>
        <w:t xml:space="preserve"> 书</w:t>
      </w:r>
    </w:p>
    <w:p>
      <w:pPr>
        <w:ind w:firstLine="0" w:firstLineChars="0"/>
        <w:rPr>
          <w:rFonts w:ascii="Calibri" w:hAnsi="Calibri" w:cs="Calibri"/>
        </w:rPr>
      </w:pPr>
    </w:p>
    <w:p>
      <w:pPr>
        <w:ind w:firstLine="0" w:firstLineChars="0"/>
      </w:pPr>
      <w:r>
        <w:t>________________：</w:t>
      </w:r>
    </w:p>
    <w:p>
      <w:pPr>
        <w:ind w:firstLine="640"/>
      </w:pPr>
      <w:r>
        <w:t>经本单位自愿申请，同意贵</w:t>
      </w:r>
      <w:r>
        <w:rPr>
          <w:rFonts w:hint="eastAsia"/>
          <w:lang w:eastAsia="zh-CN"/>
        </w:rPr>
        <w:t>单位</w:t>
      </w:r>
      <w:r>
        <w:t>关于代理机构的各项准入条件（包括收费下浮条件），愿意接受</w:t>
      </w:r>
      <w:r>
        <w:rPr>
          <w:rFonts w:hint="eastAsia"/>
          <w:lang w:eastAsia="zh-CN"/>
        </w:rPr>
        <w:t>安居区</w:t>
      </w:r>
      <w:r>
        <w:t>政府采购</w:t>
      </w:r>
      <w:r>
        <w:rPr>
          <w:rFonts w:hint="eastAsia"/>
          <w:lang w:eastAsia="zh-CN"/>
        </w:rPr>
        <w:t>主管部门</w:t>
      </w:r>
      <w:r>
        <w:t>的指导、协调、监督和管理，如违反了相关规定，除接受行政主管部门相关处罚外，两年之内，不进入</w:t>
      </w:r>
      <w:r>
        <w:rPr>
          <w:rFonts w:hint="eastAsia"/>
          <w:lang w:eastAsia="zh-CN"/>
        </w:rPr>
        <w:t>遂宁市</w:t>
      </w:r>
      <w:r>
        <w:t>政府采购市场。</w:t>
      </w:r>
    </w:p>
    <w:p>
      <w:pPr>
        <w:ind w:firstLine="640"/>
      </w:pPr>
      <w:r>
        <w:t>特此承诺。</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r>
        <w:t>承诺单位（章）：</w:t>
      </w:r>
    </w:p>
    <w:p>
      <w:pPr>
        <w:ind w:firstLine="640"/>
      </w:pPr>
      <w:r>
        <w:t xml:space="preserve">承 </w:t>
      </w:r>
      <w:r>
        <w:rPr>
          <w:rFonts w:ascii="Calibri" w:hAnsi="Calibri" w:cs="Calibri"/>
        </w:rPr>
        <w:t xml:space="preserve"> </w:t>
      </w:r>
      <w:r>
        <w:t xml:space="preserve"> 诺 </w:t>
      </w:r>
      <w:r>
        <w:rPr>
          <w:rFonts w:ascii="Calibri" w:hAnsi="Calibri" w:cs="Calibri"/>
        </w:rPr>
        <w:t xml:space="preserve"> </w:t>
      </w:r>
      <w:r>
        <w:t xml:space="preserve"> 人：</w:t>
      </w:r>
    </w:p>
    <w:p>
      <w:pPr>
        <w:ind w:firstLine="640"/>
        <w:rPr>
          <w:rFonts w:ascii="Calibri" w:hAnsi="Calibri" w:cs="Calibri"/>
        </w:rPr>
      </w:pPr>
    </w:p>
    <w:p>
      <w:pPr>
        <w:ind w:firstLine="960" w:firstLineChars="300"/>
        <w:jc w:val="right"/>
      </w:pPr>
      <w:r>
        <w:t>年   月    日</w:t>
      </w:r>
    </w:p>
    <w:p>
      <w:pPr>
        <w:spacing w:after="200" w:line="240" w:lineRule="auto"/>
        <w:ind w:firstLine="0" w:firstLineChars="0"/>
      </w:pPr>
      <w:r>
        <w:br w:type="page"/>
      </w:r>
    </w:p>
    <w:p>
      <w:pPr>
        <w:ind w:firstLine="0" w:firstLineChars="0"/>
      </w:pPr>
      <w:r>
        <w:t>附件5：</w:t>
      </w:r>
    </w:p>
    <w:p>
      <w:pPr>
        <w:ind w:firstLine="720"/>
        <w:jc w:val="center"/>
        <w:rPr>
          <w:rFonts w:ascii="黑体" w:hAnsi="黑体" w:eastAsia="黑体"/>
          <w:sz w:val="36"/>
        </w:rPr>
      </w:pPr>
      <w:r>
        <w:rPr>
          <w:rFonts w:ascii="黑体" w:hAnsi="黑体" w:eastAsia="黑体"/>
          <w:sz w:val="36"/>
        </w:rPr>
        <w:t>代理机构简介及服务承诺</w:t>
      </w:r>
    </w:p>
    <w:p>
      <w:pPr>
        <w:ind w:firstLine="720"/>
        <w:jc w:val="center"/>
        <w:rPr>
          <w:rFonts w:ascii="黑体" w:hAnsi="黑体" w:eastAsia="黑体"/>
          <w:sz w:val="36"/>
        </w:rPr>
      </w:pPr>
    </w:p>
    <w:p>
      <w:pPr>
        <w:ind w:firstLine="640"/>
      </w:pPr>
      <w:r>
        <w:t>1.代理服务机构的简介。</w:t>
      </w:r>
    </w:p>
    <w:p>
      <w:pPr>
        <w:ind w:firstLine="640"/>
      </w:pPr>
      <w:r>
        <w:t>2.详细说明代理服务的内容、形式。</w:t>
      </w:r>
    </w:p>
    <w:p>
      <w:pPr>
        <w:ind w:firstLine="640"/>
      </w:pPr>
      <w:r>
        <w:t>3.代理机构专业人员情况。</w:t>
      </w:r>
    </w:p>
    <w:p>
      <w:pPr>
        <w:ind w:firstLine="640"/>
      </w:pPr>
      <w:r>
        <w:t>4.代理服务保证措施。</w:t>
      </w:r>
    </w:p>
    <w:p>
      <w:pPr>
        <w:ind w:firstLine="640"/>
      </w:pPr>
      <w:r>
        <w:t>5.投标人认为需要说明的其他服务承诺。</w:t>
      </w:r>
    </w:p>
    <w:p>
      <w:pPr>
        <w:ind w:firstLine="640"/>
      </w:pPr>
    </w:p>
    <w:p>
      <w:pPr>
        <w:ind w:firstLine="640"/>
      </w:pPr>
    </w:p>
    <w:p>
      <w:pPr>
        <w:ind w:firstLine="640"/>
      </w:pPr>
    </w:p>
    <w:p>
      <w:pPr>
        <w:ind w:firstLine="640"/>
      </w:pPr>
    </w:p>
    <w:p>
      <w:pPr>
        <w:ind w:firstLine="640"/>
      </w:pPr>
    </w:p>
    <w:p>
      <w:pPr>
        <w:ind w:firstLine="640"/>
      </w:pPr>
    </w:p>
    <w:p>
      <w:pPr>
        <w:ind w:firstLine="640"/>
      </w:pPr>
    </w:p>
    <w:p>
      <w:pPr>
        <w:ind w:firstLine="4108" w:firstLineChars="1284"/>
      </w:pPr>
      <w:r>
        <w:t>投标人代表签名：</w:t>
      </w:r>
    </w:p>
    <w:p>
      <w:pPr>
        <w:ind w:firstLine="4108" w:firstLineChars="1284"/>
      </w:pPr>
    </w:p>
    <w:p>
      <w:pPr>
        <w:ind w:firstLine="4108" w:firstLineChars="1284"/>
      </w:pPr>
      <w:r>
        <w:t>投标单位公章：</w:t>
      </w:r>
    </w:p>
    <w:p>
      <w:pPr>
        <w:spacing w:after="200" w:line="240" w:lineRule="auto"/>
        <w:ind w:firstLine="0" w:firstLineChars="0"/>
      </w:pPr>
      <w:r>
        <w:br w:type="page"/>
      </w:r>
    </w:p>
    <w:p>
      <w:pPr>
        <w:ind w:firstLine="720"/>
        <w:jc w:val="center"/>
        <w:rPr>
          <w:rFonts w:ascii="黑体" w:hAnsi="黑体" w:eastAsia="黑体"/>
          <w:sz w:val="36"/>
        </w:rPr>
      </w:pPr>
    </w:p>
    <w:p>
      <w:pPr>
        <w:ind w:firstLine="0" w:firstLineChars="0"/>
      </w:pPr>
      <w:r>
        <w:t>附件6：</w:t>
      </w:r>
    </w:p>
    <w:p>
      <w:pPr>
        <w:ind w:firstLine="0" w:firstLineChars="0"/>
        <w:jc w:val="center"/>
        <w:rPr>
          <w:rFonts w:ascii="黑体" w:hAnsi="黑体" w:eastAsia="黑体"/>
          <w:sz w:val="36"/>
        </w:rPr>
      </w:pPr>
      <w:r>
        <w:rPr>
          <w:rFonts w:ascii="黑体" w:hAnsi="黑体" w:eastAsia="黑体"/>
          <w:sz w:val="36"/>
        </w:rPr>
        <w:t>反商业贿赂承诺书</w:t>
      </w:r>
    </w:p>
    <w:p>
      <w:pPr>
        <w:ind w:firstLine="0" w:firstLineChars="0"/>
      </w:pPr>
      <w:r>
        <w:t>我单位承诺：</w:t>
      </w:r>
    </w:p>
    <w:p>
      <w:pPr>
        <w:ind w:firstLine="640"/>
      </w:pPr>
      <w:r>
        <w:t>在参加</w:t>
      </w:r>
      <w:r>
        <w:rPr>
          <w:rFonts w:hint="eastAsia"/>
          <w:u w:val="single"/>
          <w:lang w:eastAsia="zh-CN"/>
        </w:rPr>
        <w:t xml:space="preserve"> </w:t>
      </w:r>
      <w:r>
        <w:rPr>
          <w:u w:val="single"/>
          <w:lang w:eastAsia="zh-CN"/>
        </w:rPr>
        <w:t xml:space="preserve"> </w:t>
      </w:r>
      <w:r>
        <w:rPr>
          <w:rFonts w:hint="eastAsia" w:ascii="仿宋_GB2312" w:hAnsi="微软雅黑" w:eastAsia="仿宋_GB2312" w:cs="宋体"/>
          <w:color w:val="333333"/>
          <w:szCs w:val="32"/>
          <w:u w:val="single"/>
          <w:lang w:eastAsia="zh-CN"/>
        </w:rPr>
        <w:t>晨光博达项目专线建设工程</w:t>
      </w:r>
      <w:r>
        <w:rPr>
          <w:rFonts w:ascii="仿宋_GB2312" w:hAnsi="Times New Roman" w:eastAsia="仿宋_GB2312" w:cs="Times New Roman"/>
          <w:color w:val="333333"/>
          <w:szCs w:val="32"/>
          <w:u w:val="single"/>
        </w:rPr>
        <w:t>招标代理</w:t>
      </w:r>
      <w:r>
        <w:rPr>
          <w:u w:val="single"/>
        </w:rPr>
        <w:t>服务</w:t>
      </w:r>
      <w:r>
        <w:rPr>
          <w:rFonts w:hint="eastAsia"/>
          <w:u w:val="single"/>
          <w:lang w:eastAsia="zh-CN"/>
        </w:rPr>
        <w:t xml:space="preserve"> </w:t>
      </w:r>
      <w:r>
        <w:rPr>
          <w:u w:val="single"/>
          <w:lang w:eastAsia="zh-CN"/>
        </w:rPr>
        <w:t xml:space="preserve"> </w:t>
      </w:r>
      <w:r>
        <w:t>项目的政府采购活动中，我公司保证做到：</w:t>
      </w:r>
    </w:p>
    <w:p>
      <w:pPr>
        <w:ind w:firstLine="640"/>
      </w:pPr>
      <w:r>
        <w:t>一、公平竞争参加本次招标活动。</w:t>
      </w:r>
    </w:p>
    <w:p>
      <w:pPr>
        <w:ind w:firstLine="640"/>
      </w:pPr>
      <w: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pPr>
        <w:ind w:firstLine="640"/>
      </w:pPr>
      <w:r>
        <w:t>三、若出现上述行为，我公司及参与投标的工作人员愿意接受按照国家法律法规等有关规定给予的处罚。</w:t>
      </w:r>
    </w:p>
    <w:p>
      <w:pPr>
        <w:ind w:firstLine="640"/>
      </w:pPr>
    </w:p>
    <w:p>
      <w:pPr>
        <w:ind w:firstLine="640"/>
      </w:pPr>
    </w:p>
    <w:p>
      <w:pPr>
        <w:ind w:firstLine="2550" w:firstLineChars="797"/>
      </w:pPr>
      <w:r>
        <w:t>投标单位法定代表人（签字或盖章）：</w:t>
      </w:r>
    </w:p>
    <w:p>
      <w:pPr>
        <w:ind w:firstLine="2550" w:firstLineChars="797"/>
      </w:pPr>
    </w:p>
    <w:p>
      <w:pPr>
        <w:ind w:firstLine="2550" w:firstLineChars="797"/>
      </w:pPr>
      <w:r>
        <w:t>投标人代表（签字或盖章）：</w:t>
      </w:r>
    </w:p>
    <w:p>
      <w:pPr>
        <w:ind w:firstLine="2550" w:firstLineChars="797"/>
      </w:pPr>
      <w:r>
        <w:t>（投标单位公章）</w:t>
      </w:r>
    </w:p>
    <w:p>
      <w:pPr>
        <w:ind w:firstLine="2550" w:firstLineChars="797"/>
      </w:pPr>
    </w:p>
    <w:p>
      <w:pPr>
        <w:ind w:firstLine="6236" w:firstLineChars="1949"/>
      </w:pPr>
      <w:r>
        <w:t xml:space="preserve">  年   月   日</w:t>
      </w:r>
    </w:p>
    <w:sectPr>
      <w:pgSz w:w="12240" w:h="15840"/>
      <w:pgMar w:top="1440" w:right="1800" w:bottom="1440" w:left="18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40"/>
      <w:jc w:val="center"/>
      <w:rPr>
        <w:rFonts w:ascii="楷体" w:hAnsi="楷体" w:eastAsia="楷体"/>
        <w:sz w:val="22"/>
        <w:szCs w:val="28"/>
        <w:lang w:eastAsia="zh-CN"/>
      </w:rPr>
    </w:pPr>
    <w:r>
      <w:rPr>
        <w:rFonts w:ascii="楷体" w:hAnsi="楷体" w:eastAsia="楷体"/>
        <w:sz w:val="22"/>
        <w:szCs w:val="28"/>
        <w:lang w:eastAsia="zh-CN"/>
      </w:rPr>
      <w:fldChar w:fldCharType="begin"/>
    </w:r>
    <w:r>
      <w:rPr>
        <w:rFonts w:ascii="楷体" w:hAnsi="楷体" w:eastAsia="楷体"/>
        <w:sz w:val="22"/>
        <w:szCs w:val="28"/>
        <w:lang w:eastAsia="zh-CN"/>
      </w:rPr>
      <w:instrText xml:space="preserve"> </w:instrText>
    </w:r>
    <w:r>
      <w:rPr>
        <w:rFonts w:hint="eastAsia" w:ascii="楷体" w:hAnsi="楷体" w:eastAsia="楷体"/>
        <w:sz w:val="22"/>
        <w:szCs w:val="28"/>
        <w:lang w:eastAsia="zh-CN"/>
      </w:rPr>
      <w:instrText xml:space="preserve">PAGE  \* Arabic  \* MERGEFORMAT</w:instrText>
    </w:r>
    <w:r>
      <w:rPr>
        <w:rFonts w:ascii="楷体" w:hAnsi="楷体" w:eastAsia="楷体"/>
        <w:sz w:val="22"/>
        <w:szCs w:val="28"/>
        <w:lang w:eastAsia="zh-CN"/>
      </w:rPr>
      <w:instrText xml:space="preserve"> </w:instrText>
    </w:r>
    <w:r>
      <w:rPr>
        <w:rFonts w:ascii="楷体" w:hAnsi="楷体" w:eastAsia="楷体"/>
        <w:sz w:val="22"/>
        <w:szCs w:val="28"/>
        <w:lang w:eastAsia="zh-CN"/>
      </w:rPr>
      <w:fldChar w:fldCharType="separate"/>
    </w:r>
    <w:r>
      <w:rPr>
        <w:rFonts w:ascii="楷体" w:hAnsi="楷体" w:eastAsia="楷体"/>
        <w:sz w:val="22"/>
        <w:szCs w:val="28"/>
        <w:lang w:eastAsia="zh-CN"/>
      </w:rPr>
      <w:t>3</w:t>
    </w:r>
    <w:r>
      <w:rPr>
        <w:rFonts w:ascii="楷体" w:hAnsi="楷体" w:eastAsia="楷体"/>
        <w:sz w:val="22"/>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133137"/>
    <w:rsid w:val="0015059B"/>
    <w:rsid w:val="001D1E5C"/>
    <w:rsid w:val="00256F37"/>
    <w:rsid w:val="003A0461"/>
    <w:rsid w:val="003D1405"/>
    <w:rsid w:val="00402A01"/>
    <w:rsid w:val="00446C4F"/>
    <w:rsid w:val="00490B8A"/>
    <w:rsid w:val="004E29B3"/>
    <w:rsid w:val="00590D07"/>
    <w:rsid w:val="006774AC"/>
    <w:rsid w:val="00682DFC"/>
    <w:rsid w:val="00687152"/>
    <w:rsid w:val="006C2624"/>
    <w:rsid w:val="006F7803"/>
    <w:rsid w:val="00713EA4"/>
    <w:rsid w:val="007443A6"/>
    <w:rsid w:val="00744FF3"/>
    <w:rsid w:val="0077640F"/>
    <w:rsid w:val="00784D58"/>
    <w:rsid w:val="008520B5"/>
    <w:rsid w:val="00877129"/>
    <w:rsid w:val="008D6863"/>
    <w:rsid w:val="00910545"/>
    <w:rsid w:val="00925F1A"/>
    <w:rsid w:val="009A2CD6"/>
    <w:rsid w:val="00A85D1D"/>
    <w:rsid w:val="00B1414B"/>
    <w:rsid w:val="00B41D02"/>
    <w:rsid w:val="00B86B75"/>
    <w:rsid w:val="00BB69FA"/>
    <w:rsid w:val="00BC48D5"/>
    <w:rsid w:val="00C36279"/>
    <w:rsid w:val="00C50451"/>
    <w:rsid w:val="00C537F0"/>
    <w:rsid w:val="00C717B8"/>
    <w:rsid w:val="00DD0536"/>
    <w:rsid w:val="00E30F5B"/>
    <w:rsid w:val="00E315A3"/>
    <w:rsid w:val="00EB733C"/>
    <w:rsid w:val="00FD11CF"/>
    <w:rsid w:val="05CC6427"/>
    <w:rsid w:val="0913264A"/>
    <w:rsid w:val="09BA0396"/>
    <w:rsid w:val="0ABB7E03"/>
    <w:rsid w:val="0FFD76EF"/>
    <w:rsid w:val="102B5558"/>
    <w:rsid w:val="10515CC9"/>
    <w:rsid w:val="11D97EA9"/>
    <w:rsid w:val="1583467A"/>
    <w:rsid w:val="173B2E4F"/>
    <w:rsid w:val="26465D43"/>
    <w:rsid w:val="28EC4852"/>
    <w:rsid w:val="29CF5B62"/>
    <w:rsid w:val="2AFC17FA"/>
    <w:rsid w:val="2E6C1A7D"/>
    <w:rsid w:val="31495DB1"/>
    <w:rsid w:val="32D45254"/>
    <w:rsid w:val="33543444"/>
    <w:rsid w:val="421B6EA2"/>
    <w:rsid w:val="425B4B09"/>
    <w:rsid w:val="457B2A0F"/>
    <w:rsid w:val="46363697"/>
    <w:rsid w:val="494F2B54"/>
    <w:rsid w:val="508C2A61"/>
    <w:rsid w:val="56623357"/>
    <w:rsid w:val="57955FF9"/>
    <w:rsid w:val="5B69758E"/>
    <w:rsid w:val="5D76639A"/>
    <w:rsid w:val="64107B05"/>
    <w:rsid w:val="64580337"/>
    <w:rsid w:val="6658739A"/>
    <w:rsid w:val="6B9777C7"/>
    <w:rsid w:val="6C1B45B2"/>
    <w:rsid w:val="6D0C6886"/>
    <w:rsid w:val="70720FA6"/>
    <w:rsid w:val="72414C41"/>
    <w:rsid w:val="746857A3"/>
    <w:rsid w:val="793907C4"/>
    <w:rsid w:val="7C6E2F45"/>
    <w:rsid w:val="7CE728C1"/>
    <w:rsid w:val="7D292B1E"/>
    <w:rsid w:val="7DBA02F0"/>
    <w:rsid w:val="7EA414F9"/>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iPriority="9" w:semiHidden="0" w:name="footnote text"/>
    <w:lsdException w:uiPriority="0" w:name="annotation text"/>
    <w:lsdException w:qFormat="1" w:uiPriority="99" w:semiHidden="0" w:name="header"/>
    <w:lsdException w:qFormat="1" w:uiPriority="0"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qFormat="1" w:uiPriority="9"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560" w:lineRule="exact"/>
      <w:ind w:firstLine="200" w:firstLineChars="200"/>
    </w:pPr>
    <w:rPr>
      <w:rFonts w:ascii="仿宋" w:hAnsi="仿宋" w:eastAsia="仿宋" w:cstheme="minorBidi"/>
      <w:sz w:val="32"/>
      <w:szCs w:val="24"/>
      <w:lang w:val="en" w:eastAsia="en-US" w:bidi="ar-SA"/>
    </w:rPr>
  </w:style>
  <w:style w:type="paragraph" w:styleId="2">
    <w:name w:val="heading 1"/>
    <w:basedOn w:val="1"/>
    <w:next w:val="3"/>
    <w:qFormat/>
    <w:uiPriority w:val="9"/>
    <w:pPr>
      <w:keepNext/>
      <w:keepLines/>
      <w:ind w:firstLine="0" w:firstLineChars="0"/>
      <w:jc w:val="center"/>
      <w:outlineLvl w:val="0"/>
    </w:pPr>
    <w:rPr>
      <w:rFonts w:eastAsia="方正小标宋简体" w:cstheme="majorBidi"/>
      <w:bCs/>
      <w:sz w:val="44"/>
      <w:szCs w:val="32"/>
    </w:rPr>
  </w:style>
  <w:style w:type="paragraph" w:styleId="4">
    <w:name w:val="heading 2"/>
    <w:basedOn w:val="1"/>
    <w:next w:val="3"/>
    <w:unhideWhenUsed/>
    <w:qFormat/>
    <w:uiPriority w:val="9"/>
    <w:pPr>
      <w:keepNext/>
      <w:keepLines/>
      <w:spacing w:before="100" w:beforeAutospacing="1" w:after="100" w:afterAutospacing="1"/>
      <w:outlineLvl w:val="1"/>
    </w:pPr>
    <w:rPr>
      <w:rFonts w:eastAsia="楷体" w:cstheme="majorBidi"/>
      <w:b/>
      <w:bCs/>
      <w:sz w:val="36"/>
      <w:szCs w:val="32"/>
    </w:rPr>
  </w:style>
  <w:style w:type="paragraph" w:styleId="5">
    <w:name w:val="heading 3"/>
    <w:basedOn w:val="1"/>
    <w:next w:val="3"/>
    <w:unhideWhenUsed/>
    <w:qFormat/>
    <w:uiPriority w:val="9"/>
    <w:pPr>
      <w:keepNext/>
      <w:keepLines/>
      <w:spacing w:before="20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outlineLvl w:val="3"/>
    </w:pPr>
    <w:rPr>
      <w:rFonts w:asciiTheme="majorHAnsi" w:hAnsiTheme="majorHAnsi" w:eastAsiaTheme="majorEastAsia" w:cstheme="majorBidi"/>
      <w:b/>
      <w:bCs/>
      <w:color w:val="4F81BD" w:themeColor="accent1"/>
      <w:sz w:val="24"/>
      <w14:textFill>
        <w14:solidFill>
          <w14:schemeClr w14:val="accent1"/>
        </w14:solidFill>
      </w14:textFill>
    </w:rPr>
  </w:style>
  <w:style w:type="paragraph" w:styleId="7">
    <w:name w:val="heading 5"/>
    <w:basedOn w:val="1"/>
    <w:next w:val="3"/>
    <w:unhideWhenUsed/>
    <w:qFormat/>
    <w:uiPriority w:val="9"/>
    <w:pPr>
      <w:keepNext/>
      <w:keepLines/>
      <w:spacing w:before="200"/>
      <w:outlineLvl w:val="4"/>
    </w:pPr>
    <w:rPr>
      <w:rFonts w:asciiTheme="majorHAnsi" w:hAnsiTheme="majorHAnsi" w:eastAsiaTheme="majorEastAsia" w:cstheme="majorBidi"/>
      <w:i/>
      <w:iCs/>
      <w:color w:val="4F81BD" w:themeColor="accent1"/>
      <w:sz w:val="24"/>
      <w14:textFill>
        <w14:solidFill>
          <w14:schemeClr w14:val="accent1"/>
        </w14:solidFill>
      </w14:textFill>
    </w:rPr>
  </w:style>
  <w:style w:type="paragraph" w:styleId="8">
    <w:name w:val="heading 6"/>
    <w:basedOn w:val="1"/>
    <w:next w:val="3"/>
    <w:unhideWhenUsed/>
    <w:qFormat/>
    <w:uiPriority w:val="9"/>
    <w:pPr>
      <w:keepNext/>
      <w:keepLines/>
      <w:spacing w:before="200"/>
      <w:outlineLvl w:val="5"/>
    </w:pPr>
    <w:rPr>
      <w:rFonts w:asciiTheme="majorHAnsi" w:hAnsiTheme="majorHAnsi" w:eastAsiaTheme="majorEastAsia" w:cstheme="majorBidi"/>
      <w:color w:val="4F81BD" w:themeColor="accent1"/>
      <w:sz w:val="24"/>
      <w14:textFill>
        <w14:solidFill>
          <w14:schemeClr w14:val="accent1"/>
        </w14:solidFill>
      </w14:textFill>
    </w:rPr>
  </w:style>
  <w:style w:type="paragraph" w:styleId="9">
    <w:name w:val="heading 7"/>
    <w:basedOn w:val="1"/>
    <w:next w:val="3"/>
    <w:unhideWhenUsed/>
    <w:qFormat/>
    <w:uiPriority w:val="9"/>
    <w:pPr>
      <w:keepNext/>
      <w:keepLines/>
      <w:spacing w:before="200"/>
      <w:outlineLvl w:val="6"/>
    </w:pPr>
    <w:rPr>
      <w:rFonts w:asciiTheme="majorHAnsi" w:hAnsiTheme="majorHAnsi" w:eastAsiaTheme="majorEastAsia" w:cstheme="majorBidi"/>
      <w:color w:val="4F81BD" w:themeColor="accent1"/>
      <w:sz w:val="24"/>
      <w14:textFill>
        <w14:solidFill>
          <w14:schemeClr w14:val="accent1"/>
        </w14:solidFill>
      </w14:textFill>
    </w:rPr>
  </w:style>
  <w:style w:type="paragraph" w:styleId="10">
    <w:name w:val="heading 8"/>
    <w:basedOn w:val="1"/>
    <w:next w:val="3"/>
    <w:unhideWhenUsed/>
    <w:qFormat/>
    <w:uiPriority w:val="9"/>
    <w:pPr>
      <w:keepNext/>
      <w:keepLines/>
      <w:spacing w:before="200"/>
      <w:outlineLvl w:val="7"/>
    </w:pPr>
    <w:rPr>
      <w:rFonts w:asciiTheme="majorHAnsi" w:hAnsiTheme="majorHAnsi" w:eastAsiaTheme="majorEastAsia" w:cstheme="majorBidi"/>
      <w:color w:val="4F81BD" w:themeColor="accent1"/>
      <w:sz w:val="24"/>
      <w14:textFill>
        <w14:solidFill>
          <w14:schemeClr w14:val="accent1"/>
        </w14:solidFill>
      </w14:textFill>
    </w:rPr>
  </w:style>
  <w:style w:type="paragraph" w:styleId="11">
    <w:name w:val="heading 9"/>
    <w:basedOn w:val="1"/>
    <w:next w:val="3"/>
    <w:unhideWhenUsed/>
    <w:qFormat/>
    <w:uiPriority w:val="9"/>
    <w:pPr>
      <w:keepNext/>
      <w:keepLines/>
      <w:spacing w:before="200"/>
      <w:outlineLvl w:val="8"/>
    </w:pPr>
    <w:rPr>
      <w:rFonts w:asciiTheme="majorHAnsi" w:hAnsiTheme="majorHAnsi" w:eastAsiaTheme="majorEastAsia" w:cstheme="majorBidi"/>
      <w:color w:val="4F81BD" w:themeColor="accent1"/>
      <w:sz w:val="24"/>
      <w14:textFill>
        <w14:solidFill>
          <w14:schemeClr w14:val="accent1"/>
        </w14:solidFill>
      </w14:textFill>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toc 7"/>
    <w:basedOn w:val="1"/>
    <w:next w:val="1"/>
    <w:unhideWhenUsed/>
    <w:qFormat/>
    <w:uiPriority w:val="0"/>
    <w:pPr>
      <w:ind w:left="1920"/>
    </w:pPr>
    <w:rPr>
      <w:rFonts w:asciiTheme="minorHAnsi" w:hAnsiTheme="minorHAnsi"/>
      <w:sz w:val="18"/>
      <w:szCs w:val="18"/>
    </w:rPr>
  </w:style>
  <w:style w:type="paragraph" w:styleId="13">
    <w:name w:val="caption"/>
    <w:basedOn w:val="1"/>
    <w:next w:val="1"/>
    <w:link w:val="33"/>
    <w:uiPriority w:val="0"/>
    <w:pPr>
      <w:spacing w:after="120"/>
    </w:pPr>
    <w:rPr>
      <w:i/>
    </w:rPr>
  </w:style>
  <w:style w:type="paragraph" w:styleId="14">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5">
    <w:name w:val="toc 5"/>
    <w:basedOn w:val="1"/>
    <w:next w:val="1"/>
    <w:unhideWhenUsed/>
    <w:qFormat/>
    <w:uiPriority w:val="0"/>
    <w:pPr>
      <w:ind w:left="1280"/>
    </w:pPr>
    <w:rPr>
      <w:rFonts w:asciiTheme="minorHAnsi" w:hAnsiTheme="minorHAnsi"/>
      <w:sz w:val="18"/>
      <w:szCs w:val="18"/>
    </w:rPr>
  </w:style>
  <w:style w:type="paragraph" w:styleId="16">
    <w:name w:val="toc 3"/>
    <w:basedOn w:val="1"/>
    <w:next w:val="1"/>
    <w:unhideWhenUsed/>
    <w:uiPriority w:val="0"/>
    <w:pPr>
      <w:ind w:left="640"/>
    </w:pPr>
    <w:rPr>
      <w:rFonts w:asciiTheme="minorHAnsi" w:hAnsiTheme="minorHAnsi"/>
      <w:i/>
      <w:iCs/>
      <w:sz w:val="20"/>
      <w:szCs w:val="20"/>
    </w:rPr>
  </w:style>
  <w:style w:type="paragraph" w:styleId="17">
    <w:name w:val="toc 8"/>
    <w:basedOn w:val="1"/>
    <w:next w:val="1"/>
    <w:unhideWhenUsed/>
    <w:qFormat/>
    <w:uiPriority w:val="0"/>
    <w:pPr>
      <w:ind w:left="2240"/>
    </w:pPr>
    <w:rPr>
      <w:rFonts w:asciiTheme="minorHAnsi" w:hAnsiTheme="minorHAnsi"/>
      <w:sz w:val="18"/>
      <w:szCs w:val="18"/>
    </w:rPr>
  </w:style>
  <w:style w:type="paragraph" w:styleId="18">
    <w:name w:val="Date"/>
    <w:next w:val="3"/>
    <w:qFormat/>
    <w:uiPriority w:val="0"/>
    <w:pPr>
      <w:keepNext/>
      <w:keepLines/>
      <w:spacing w:after="200"/>
      <w:jc w:val="center"/>
    </w:pPr>
    <w:rPr>
      <w:rFonts w:asciiTheme="minorHAnsi" w:hAnsiTheme="minorHAnsi" w:eastAsiaTheme="minorEastAsia" w:cstheme="minorBidi"/>
      <w:sz w:val="24"/>
      <w:szCs w:val="24"/>
      <w:lang w:val="en" w:eastAsia="en-US" w:bidi="ar-SA"/>
    </w:rPr>
  </w:style>
  <w:style w:type="paragraph" w:styleId="19">
    <w:name w:val="Balloon Text"/>
    <w:basedOn w:val="1"/>
    <w:link w:val="83"/>
    <w:semiHidden/>
    <w:unhideWhenUsed/>
    <w:qFormat/>
    <w:uiPriority w:val="0"/>
    <w:pPr>
      <w:spacing w:line="240" w:lineRule="auto"/>
    </w:pPr>
    <w:rPr>
      <w:sz w:val="18"/>
      <w:szCs w:val="18"/>
    </w:rPr>
  </w:style>
  <w:style w:type="paragraph" w:styleId="20">
    <w:name w:val="footer"/>
    <w:basedOn w:val="1"/>
    <w:link w:val="82"/>
    <w:unhideWhenUsed/>
    <w:qFormat/>
    <w:uiPriority w:val="0"/>
    <w:pPr>
      <w:tabs>
        <w:tab w:val="center" w:pos="4153"/>
        <w:tab w:val="right" w:pos="8306"/>
      </w:tabs>
      <w:snapToGrid w:val="0"/>
      <w:spacing w:line="240" w:lineRule="atLeast"/>
    </w:pPr>
    <w:rPr>
      <w:sz w:val="18"/>
      <w:szCs w:val="18"/>
    </w:rPr>
  </w:style>
  <w:style w:type="paragraph" w:styleId="21">
    <w:name w:val="header"/>
    <w:basedOn w:val="1"/>
    <w:link w:val="81"/>
    <w:unhideWhenUsed/>
    <w:qFormat/>
    <w:uiPriority w:val="99"/>
    <w:pPr>
      <w:widowControl w:val="0"/>
      <w:pBdr>
        <w:bottom w:val="single" w:color="auto" w:sz="6" w:space="1"/>
      </w:pBdr>
      <w:tabs>
        <w:tab w:val="center" w:pos="4153"/>
        <w:tab w:val="right" w:pos="8306"/>
      </w:tabs>
      <w:snapToGrid w:val="0"/>
      <w:jc w:val="center"/>
    </w:pPr>
    <w:rPr>
      <w:kern w:val="2"/>
      <w:sz w:val="18"/>
      <w:szCs w:val="18"/>
      <w:lang w:val="en-US" w:eastAsia="zh-CN"/>
    </w:rPr>
  </w:style>
  <w:style w:type="paragraph" w:styleId="22">
    <w:name w:val="toc 1"/>
    <w:basedOn w:val="1"/>
    <w:next w:val="1"/>
    <w:unhideWhenUsed/>
    <w:qFormat/>
    <w:uiPriority w:val="39"/>
    <w:pPr>
      <w:spacing w:before="120" w:after="120"/>
    </w:pPr>
    <w:rPr>
      <w:rFonts w:asciiTheme="minorHAnsi" w:hAnsiTheme="minorHAnsi"/>
      <w:b/>
      <w:bCs/>
      <w:caps/>
      <w:sz w:val="20"/>
      <w:szCs w:val="20"/>
    </w:rPr>
  </w:style>
  <w:style w:type="paragraph" w:styleId="23">
    <w:name w:val="toc 4"/>
    <w:basedOn w:val="1"/>
    <w:next w:val="1"/>
    <w:unhideWhenUsed/>
    <w:qFormat/>
    <w:uiPriority w:val="0"/>
    <w:pPr>
      <w:ind w:left="960"/>
    </w:pPr>
    <w:rPr>
      <w:rFonts w:asciiTheme="minorHAnsi" w:hAnsiTheme="minorHAnsi"/>
      <w:sz w:val="18"/>
      <w:szCs w:val="18"/>
    </w:rPr>
  </w:style>
  <w:style w:type="paragraph" w:styleId="24">
    <w:name w:val="Subtitle"/>
    <w:basedOn w:val="25"/>
    <w:next w:val="3"/>
    <w:qFormat/>
    <w:uiPriority w:val="0"/>
    <w:pPr>
      <w:spacing w:before="240"/>
    </w:pPr>
    <w:rPr>
      <w:sz w:val="30"/>
      <w:szCs w:val="30"/>
    </w:rPr>
  </w:style>
  <w:style w:type="paragraph" w:styleId="25">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6">
    <w:name w:val="footnote text"/>
    <w:basedOn w:val="1"/>
    <w:unhideWhenUsed/>
    <w:qFormat/>
    <w:uiPriority w:val="9"/>
  </w:style>
  <w:style w:type="paragraph" w:styleId="27">
    <w:name w:val="toc 6"/>
    <w:basedOn w:val="1"/>
    <w:next w:val="1"/>
    <w:unhideWhenUsed/>
    <w:qFormat/>
    <w:uiPriority w:val="0"/>
    <w:pPr>
      <w:ind w:left="1600"/>
    </w:pPr>
    <w:rPr>
      <w:rFonts w:asciiTheme="minorHAnsi" w:hAnsiTheme="minorHAnsi"/>
      <w:sz w:val="18"/>
      <w:szCs w:val="18"/>
    </w:rPr>
  </w:style>
  <w:style w:type="paragraph" w:styleId="28">
    <w:name w:val="toc 2"/>
    <w:basedOn w:val="1"/>
    <w:next w:val="1"/>
    <w:unhideWhenUsed/>
    <w:qFormat/>
    <w:uiPriority w:val="39"/>
    <w:pPr>
      <w:ind w:left="320"/>
    </w:pPr>
    <w:rPr>
      <w:rFonts w:asciiTheme="minorHAnsi" w:hAnsiTheme="minorHAnsi"/>
      <w:smallCaps/>
      <w:sz w:val="20"/>
      <w:szCs w:val="20"/>
    </w:rPr>
  </w:style>
  <w:style w:type="paragraph" w:styleId="29">
    <w:name w:val="toc 9"/>
    <w:basedOn w:val="1"/>
    <w:next w:val="1"/>
    <w:unhideWhenUsed/>
    <w:qFormat/>
    <w:uiPriority w:val="0"/>
    <w:pPr>
      <w:ind w:left="2560"/>
    </w:pPr>
    <w:rPr>
      <w:rFonts w:asciiTheme="minorHAnsi" w:hAnsiTheme="minorHAnsi"/>
      <w:sz w:val="18"/>
      <w:szCs w:val="18"/>
    </w:rPr>
  </w:style>
  <w:style w:type="character" w:styleId="32">
    <w:name w:val="Hyperlink"/>
    <w:basedOn w:val="33"/>
    <w:qFormat/>
    <w:uiPriority w:val="99"/>
    <w:rPr>
      <w:color w:val="4F81BD" w:themeColor="accent1"/>
      <w14:textFill>
        <w14:solidFill>
          <w14:schemeClr w14:val="accent1"/>
        </w14:solidFill>
      </w14:textFill>
    </w:rPr>
  </w:style>
  <w:style w:type="character" w:customStyle="1" w:styleId="33">
    <w:name w:val="题注 字符"/>
    <w:basedOn w:val="31"/>
    <w:link w:val="13"/>
    <w:qFormat/>
    <w:uiPriority w:val="0"/>
  </w:style>
  <w:style w:type="character" w:styleId="34">
    <w:name w:val="footnote reference"/>
    <w:basedOn w:val="33"/>
    <w:qFormat/>
    <w:uiPriority w:val="0"/>
    <w:rPr>
      <w:vertAlign w:val="superscript"/>
    </w:rPr>
  </w:style>
  <w:style w:type="paragraph" w:customStyle="1" w:styleId="35">
    <w:name w:val="First Paragraph"/>
    <w:basedOn w:val="3"/>
    <w:next w:val="3"/>
    <w:qFormat/>
    <w:uiPriority w:val="0"/>
  </w:style>
  <w:style w:type="paragraph" w:customStyle="1" w:styleId="36">
    <w:name w:val="Compact"/>
    <w:basedOn w:val="3"/>
    <w:qFormat/>
    <w:uiPriority w:val="0"/>
    <w:pPr>
      <w:spacing w:before="36" w:after="36"/>
    </w:pPr>
  </w:style>
  <w:style w:type="paragraph" w:customStyle="1" w:styleId="37">
    <w:name w:val="Author"/>
    <w:next w:val="3"/>
    <w:qFormat/>
    <w:uiPriority w:val="0"/>
    <w:pPr>
      <w:keepNext/>
      <w:keepLines/>
      <w:spacing w:after="200"/>
      <w:jc w:val="center"/>
    </w:pPr>
    <w:rPr>
      <w:rFonts w:asciiTheme="minorHAnsi" w:hAnsiTheme="minorHAnsi" w:eastAsiaTheme="minorEastAsia" w:cstheme="minorBidi"/>
      <w:sz w:val="24"/>
      <w:szCs w:val="24"/>
      <w:lang w:val="en" w:eastAsia="en-US" w:bidi="ar-SA"/>
    </w:rPr>
  </w:style>
  <w:style w:type="paragraph" w:customStyle="1" w:styleId="38">
    <w:name w:val="Abstract"/>
    <w:basedOn w:val="1"/>
    <w:next w:val="3"/>
    <w:qFormat/>
    <w:uiPriority w:val="0"/>
    <w:pPr>
      <w:keepNext/>
      <w:keepLines/>
      <w:spacing w:before="300" w:after="300"/>
    </w:pPr>
    <w:rPr>
      <w:sz w:val="20"/>
      <w:szCs w:val="20"/>
    </w:rPr>
  </w:style>
  <w:style w:type="paragraph" w:customStyle="1" w:styleId="39">
    <w:name w:val="Bibliography"/>
    <w:basedOn w:val="1"/>
    <w:qFormat/>
    <w:uiPriority w:val="0"/>
  </w:style>
  <w:style w:type="table" w:customStyle="1" w:styleId="40">
    <w:name w:val="Table"/>
    <w:semiHidden/>
    <w:unhideWhenUsed/>
    <w:qFormat/>
    <w:uiPriority w:val="0"/>
    <w:tblPr>
      <w:tblCellMar>
        <w:top w:w="0" w:type="dxa"/>
        <w:left w:w="108" w:type="dxa"/>
        <w:bottom w:w="0" w:type="dxa"/>
        <w:right w:w="108" w:type="dxa"/>
      </w:tblCellMar>
    </w:tblPr>
  </w:style>
  <w:style w:type="paragraph" w:customStyle="1" w:styleId="41">
    <w:name w:val="Definition Term"/>
    <w:basedOn w:val="1"/>
    <w:next w:val="42"/>
    <w:qFormat/>
    <w:uiPriority w:val="0"/>
    <w:pPr>
      <w:keepNext/>
      <w:keepLines/>
    </w:pPr>
    <w:rPr>
      <w:b/>
    </w:rPr>
  </w:style>
  <w:style w:type="paragraph" w:customStyle="1" w:styleId="42">
    <w:name w:val="Definition"/>
    <w:basedOn w:val="1"/>
    <w:qFormat/>
    <w:uiPriority w:val="0"/>
  </w:style>
  <w:style w:type="paragraph" w:customStyle="1" w:styleId="43">
    <w:name w:val="Table Caption"/>
    <w:basedOn w:val="13"/>
    <w:qFormat/>
    <w:uiPriority w:val="0"/>
    <w:pPr>
      <w:keepNext/>
    </w:pPr>
  </w:style>
  <w:style w:type="paragraph" w:customStyle="1" w:styleId="44">
    <w:name w:val="Image Caption"/>
    <w:basedOn w:val="13"/>
    <w:qFormat/>
    <w:uiPriority w:val="0"/>
  </w:style>
  <w:style w:type="paragraph" w:customStyle="1" w:styleId="45">
    <w:name w:val="Figure"/>
    <w:basedOn w:val="1"/>
    <w:qFormat/>
    <w:uiPriority w:val="0"/>
  </w:style>
  <w:style w:type="paragraph" w:customStyle="1" w:styleId="46">
    <w:name w:val="Captioned Figure"/>
    <w:basedOn w:val="45"/>
    <w:qFormat/>
    <w:uiPriority w:val="0"/>
    <w:pPr>
      <w:keepNext/>
    </w:pPr>
  </w:style>
  <w:style w:type="character" w:customStyle="1" w:styleId="47">
    <w:name w:val="Verbatim Char"/>
    <w:basedOn w:val="33"/>
    <w:link w:val="48"/>
    <w:qFormat/>
    <w:uiPriority w:val="0"/>
    <w:rPr>
      <w:rFonts w:ascii="Consolas" w:hAnsi="Consolas"/>
      <w:sz w:val="22"/>
    </w:rPr>
  </w:style>
  <w:style w:type="paragraph" w:customStyle="1" w:styleId="48">
    <w:name w:val="Source Code"/>
    <w:basedOn w:val="1"/>
    <w:link w:val="47"/>
    <w:qFormat/>
    <w:uiPriority w:val="0"/>
    <w:pPr>
      <w:wordWrap w:val="0"/>
    </w:pPr>
  </w:style>
  <w:style w:type="paragraph" w:customStyle="1" w:styleId="49">
    <w:name w:val="TOC Heading"/>
    <w:basedOn w:val="2"/>
    <w:next w:val="3"/>
    <w:unhideWhenUsed/>
    <w:qFormat/>
    <w:uiPriority w:val="39"/>
    <w:pPr>
      <w:spacing w:before="240" w:line="259" w:lineRule="auto"/>
      <w:outlineLvl w:val="9"/>
    </w:pPr>
    <w:rPr>
      <w:rFonts w:asciiTheme="majorHAnsi" w:hAnsiTheme="majorHAnsi" w:eastAsiaTheme="majorEastAsia"/>
      <w:b/>
      <w:bCs w:val="0"/>
      <w:color w:val="376092" w:themeColor="accent1" w:themeShade="BF"/>
    </w:rPr>
  </w:style>
  <w:style w:type="character" w:customStyle="1" w:styleId="50">
    <w:name w:val="KeywordTok"/>
    <w:basedOn w:val="47"/>
    <w:qFormat/>
    <w:uiPriority w:val="0"/>
    <w:rPr>
      <w:rFonts w:ascii="Consolas" w:hAnsi="Consolas"/>
      <w:b/>
      <w:color w:val="007020"/>
      <w:sz w:val="22"/>
    </w:rPr>
  </w:style>
  <w:style w:type="character" w:customStyle="1" w:styleId="51">
    <w:name w:val="DataTypeTok"/>
    <w:basedOn w:val="47"/>
    <w:qFormat/>
    <w:uiPriority w:val="0"/>
    <w:rPr>
      <w:rFonts w:ascii="Consolas" w:hAnsi="Consolas"/>
      <w:color w:val="902000"/>
      <w:sz w:val="22"/>
    </w:rPr>
  </w:style>
  <w:style w:type="character" w:customStyle="1" w:styleId="52">
    <w:name w:val="DecValTok"/>
    <w:basedOn w:val="47"/>
    <w:qFormat/>
    <w:uiPriority w:val="0"/>
    <w:rPr>
      <w:rFonts w:ascii="Consolas" w:hAnsi="Consolas"/>
      <w:color w:val="40A070"/>
      <w:sz w:val="22"/>
    </w:rPr>
  </w:style>
  <w:style w:type="character" w:customStyle="1" w:styleId="53">
    <w:name w:val="BaseNTok"/>
    <w:basedOn w:val="47"/>
    <w:qFormat/>
    <w:uiPriority w:val="0"/>
    <w:rPr>
      <w:rFonts w:ascii="Consolas" w:hAnsi="Consolas"/>
      <w:color w:val="40A070"/>
      <w:sz w:val="22"/>
    </w:rPr>
  </w:style>
  <w:style w:type="character" w:customStyle="1" w:styleId="54">
    <w:name w:val="FloatTok"/>
    <w:basedOn w:val="47"/>
    <w:qFormat/>
    <w:uiPriority w:val="0"/>
    <w:rPr>
      <w:rFonts w:ascii="Consolas" w:hAnsi="Consolas"/>
      <w:color w:val="40A070"/>
      <w:sz w:val="22"/>
    </w:rPr>
  </w:style>
  <w:style w:type="character" w:customStyle="1" w:styleId="55">
    <w:name w:val="ConstantTok"/>
    <w:basedOn w:val="47"/>
    <w:qFormat/>
    <w:uiPriority w:val="0"/>
    <w:rPr>
      <w:rFonts w:ascii="Consolas" w:hAnsi="Consolas"/>
      <w:color w:val="880000"/>
      <w:sz w:val="22"/>
    </w:rPr>
  </w:style>
  <w:style w:type="character" w:customStyle="1" w:styleId="56">
    <w:name w:val="CharTok"/>
    <w:basedOn w:val="47"/>
    <w:qFormat/>
    <w:uiPriority w:val="0"/>
    <w:rPr>
      <w:rFonts w:ascii="Consolas" w:hAnsi="Consolas"/>
      <w:color w:val="4070A0"/>
      <w:sz w:val="22"/>
    </w:rPr>
  </w:style>
  <w:style w:type="character" w:customStyle="1" w:styleId="57">
    <w:name w:val="SpecialCharTok"/>
    <w:basedOn w:val="47"/>
    <w:qFormat/>
    <w:uiPriority w:val="0"/>
    <w:rPr>
      <w:rFonts w:ascii="Consolas" w:hAnsi="Consolas"/>
      <w:color w:val="4070A0"/>
      <w:sz w:val="22"/>
    </w:rPr>
  </w:style>
  <w:style w:type="character" w:customStyle="1" w:styleId="58">
    <w:name w:val="StringTok"/>
    <w:basedOn w:val="47"/>
    <w:qFormat/>
    <w:uiPriority w:val="0"/>
    <w:rPr>
      <w:rFonts w:ascii="Consolas" w:hAnsi="Consolas"/>
      <w:color w:val="4070A0"/>
      <w:sz w:val="22"/>
    </w:rPr>
  </w:style>
  <w:style w:type="character" w:customStyle="1" w:styleId="59">
    <w:name w:val="VerbatimStringTok"/>
    <w:basedOn w:val="47"/>
    <w:qFormat/>
    <w:uiPriority w:val="0"/>
    <w:rPr>
      <w:rFonts w:ascii="Consolas" w:hAnsi="Consolas"/>
      <w:color w:val="4070A0"/>
      <w:sz w:val="22"/>
    </w:rPr>
  </w:style>
  <w:style w:type="character" w:customStyle="1" w:styleId="60">
    <w:name w:val="SpecialStringTok"/>
    <w:basedOn w:val="47"/>
    <w:qFormat/>
    <w:uiPriority w:val="0"/>
    <w:rPr>
      <w:rFonts w:ascii="Consolas" w:hAnsi="Consolas"/>
      <w:color w:val="BB6688"/>
      <w:sz w:val="22"/>
    </w:rPr>
  </w:style>
  <w:style w:type="character" w:customStyle="1" w:styleId="61">
    <w:name w:val="ImportTok"/>
    <w:basedOn w:val="47"/>
    <w:qFormat/>
    <w:uiPriority w:val="0"/>
    <w:rPr>
      <w:rFonts w:ascii="Consolas" w:hAnsi="Consolas"/>
      <w:sz w:val="22"/>
    </w:rPr>
  </w:style>
  <w:style w:type="character" w:customStyle="1" w:styleId="62">
    <w:name w:val="CommentTok"/>
    <w:basedOn w:val="47"/>
    <w:qFormat/>
    <w:uiPriority w:val="0"/>
    <w:rPr>
      <w:rFonts w:ascii="Consolas" w:hAnsi="Consolas"/>
      <w:i/>
      <w:color w:val="60A0B0"/>
      <w:sz w:val="22"/>
    </w:rPr>
  </w:style>
  <w:style w:type="character" w:customStyle="1" w:styleId="63">
    <w:name w:val="DocumentationTok"/>
    <w:basedOn w:val="47"/>
    <w:qFormat/>
    <w:uiPriority w:val="0"/>
    <w:rPr>
      <w:rFonts w:ascii="Consolas" w:hAnsi="Consolas"/>
      <w:i/>
      <w:color w:val="BA2121"/>
      <w:sz w:val="22"/>
    </w:rPr>
  </w:style>
  <w:style w:type="character" w:customStyle="1" w:styleId="64">
    <w:name w:val="AnnotationTok"/>
    <w:basedOn w:val="47"/>
    <w:qFormat/>
    <w:uiPriority w:val="0"/>
    <w:rPr>
      <w:rFonts w:ascii="Consolas" w:hAnsi="Consolas"/>
      <w:b/>
      <w:i/>
      <w:color w:val="60A0B0"/>
      <w:sz w:val="22"/>
    </w:rPr>
  </w:style>
  <w:style w:type="character" w:customStyle="1" w:styleId="65">
    <w:name w:val="CommentVarTok"/>
    <w:basedOn w:val="47"/>
    <w:qFormat/>
    <w:uiPriority w:val="0"/>
    <w:rPr>
      <w:rFonts w:ascii="Consolas" w:hAnsi="Consolas"/>
      <w:b/>
      <w:i/>
      <w:color w:val="60A0B0"/>
      <w:sz w:val="22"/>
    </w:rPr>
  </w:style>
  <w:style w:type="character" w:customStyle="1" w:styleId="66">
    <w:name w:val="OtherTok"/>
    <w:basedOn w:val="47"/>
    <w:qFormat/>
    <w:uiPriority w:val="0"/>
    <w:rPr>
      <w:rFonts w:ascii="Consolas" w:hAnsi="Consolas"/>
      <w:color w:val="007020"/>
      <w:sz w:val="22"/>
    </w:rPr>
  </w:style>
  <w:style w:type="character" w:customStyle="1" w:styleId="67">
    <w:name w:val="FunctionTok"/>
    <w:basedOn w:val="47"/>
    <w:qFormat/>
    <w:uiPriority w:val="0"/>
    <w:rPr>
      <w:rFonts w:ascii="Consolas" w:hAnsi="Consolas"/>
      <w:color w:val="06287E"/>
      <w:sz w:val="22"/>
    </w:rPr>
  </w:style>
  <w:style w:type="character" w:customStyle="1" w:styleId="68">
    <w:name w:val="VariableTok"/>
    <w:basedOn w:val="47"/>
    <w:qFormat/>
    <w:uiPriority w:val="0"/>
    <w:rPr>
      <w:rFonts w:ascii="Consolas" w:hAnsi="Consolas"/>
      <w:color w:val="19177C"/>
      <w:sz w:val="22"/>
    </w:rPr>
  </w:style>
  <w:style w:type="character" w:customStyle="1" w:styleId="69">
    <w:name w:val="ControlFlowTok"/>
    <w:basedOn w:val="47"/>
    <w:qFormat/>
    <w:uiPriority w:val="0"/>
    <w:rPr>
      <w:rFonts w:ascii="Consolas" w:hAnsi="Consolas"/>
      <w:b/>
      <w:color w:val="007020"/>
      <w:sz w:val="22"/>
    </w:rPr>
  </w:style>
  <w:style w:type="character" w:customStyle="1" w:styleId="70">
    <w:name w:val="OperatorTok"/>
    <w:basedOn w:val="47"/>
    <w:qFormat/>
    <w:uiPriority w:val="0"/>
    <w:rPr>
      <w:rFonts w:ascii="Consolas" w:hAnsi="Consolas"/>
      <w:color w:val="666666"/>
      <w:sz w:val="22"/>
    </w:rPr>
  </w:style>
  <w:style w:type="character" w:customStyle="1" w:styleId="71">
    <w:name w:val="BuiltInTok"/>
    <w:basedOn w:val="47"/>
    <w:qFormat/>
    <w:uiPriority w:val="0"/>
    <w:rPr>
      <w:rFonts w:ascii="Consolas" w:hAnsi="Consolas"/>
      <w:sz w:val="22"/>
    </w:rPr>
  </w:style>
  <w:style w:type="character" w:customStyle="1" w:styleId="72">
    <w:name w:val="ExtensionTok"/>
    <w:basedOn w:val="47"/>
    <w:qFormat/>
    <w:uiPriority w:val="0"/>
    <w:rPr>
      <w:rFonts w:ascii="Consolas" w:hAnsi="Consolas"/>
      <w:sz w:val="22"/>
    </w:rPr>
  </w:style>
  <w:style w:type="character" w:customStyle="1" w:styleId="73">
    <w:name w:val="PreprocessorTok"/>
    <w:basedOn w:val="47"/>
    <w:qFormat/>
    <w:uiPriority w:val="0"/>
    <w:rPr>
      <w:rFonts w:ascii="Consolas" w:hAnsi="Consolas"/>
      <w:color w:val="BC7A00"/>
      <w:sz w:val="22"/>
    </w:rPr>
  </w:style>
  <w:style w:type="character" w:customStyle="1" w:styleId="74">
    <w:name w:val="AttributeTok"/>
    <w:basedOn w:val="47"/>
    <w:qFormat/>
    <w:uiPriority w:val="0"/>
    <w:rPr>
      <w:rFonts w:ascii="Consolas" w:hAnsi="Consolas"/>
      <w:color w:val="7D9029"/>
      <w:sz w:val="22"/>
    </w:rPr>
  </w:style>
  <w:style w:type="character" w:customStyle="1" w:styleId="75">
    <w:name w:val="RegionMarkerTok"/>
    <w:basedOn w:val="47"/>
    <w:qFormat/>
    <w:uiPriority w:val="0"/>
    <w:rPr>
      <w:rFonts w:ascii="Consolas" w:hAnsi="Consolas"/>
      <w:sz w:val="22"/>
    </w:rPr>
  </w:style>
  <w:style w:type="character" w:customStyle="1" w:styleId="76">
    <w:name w:val="InformationTok"/>
    <w:basedOn w:val="47"/>
    <w:qFormat/>
    <w:uiPriority w:val="0"/>
    <w:rPr>
      <w:rFonts w:ascii="Consolas" w:hAnsi="Consolas"/>
      <w:b/>
      <w:i/>
      <w:color w:val="60A0B0"/>
      <w:sz w:val="22"/>
    </w:rPr>
  </w:style>
  <w:style w:type="character" w:customStyle="1" w:styleId="77">
    <w:name w:val="WarningTok"/>
    <w:basedOn w:val="47"/>
    <w:qFormat/>
    <w:uiPriority w:val="0"/>
    <w:rPr>
      <w:rFonts w:ascii="Consolas" w:hAnsi="Consolas"/>
      <w:b/>
      <w:i/>
      <w:color w:val="60A0B0"/>
      <w:sz w:val="22"/>
    </w:rPr>
  </w:style>
  <w:style w:type="character" w:customStyle="1" w:styleId="78">
    <w:name w:val="AlertTok"/>
    <w:basedOn w:val="47"/>
    <w:qFormat/>
    <w:uiPriority w:val="0"/>
    <w:rPr>
      <w:rFonts w:ascii="Consolas" w:hAnsi="Consolas"/>
      <w:b/>
      <w:color w:val="FF0000"/>
      <w:sz w:val="22"/>
    </w:rPr>
  </w:style>
  <w:style w:type="character" w:customStyle="1" w:styleId="79">
    <w:name w:val="ErrorTok"/>
    <w:basedOn w:val="47"/>
    <w:qFormat/>
    <w:uiPriority w:val="0"/>
    <w:rPr>
      <w:rFonts w:ascii="Consolas" w:hAnsi="Consolas"/>
      <w:b/>
      <w:color w:val="FF0000"/>
      <w:sz w:val="22"/>
    </w:rPr>
  </w:style>
  <w:style w:type="character" w:customStyle="1" w:styleId="80">
    <w:name w:val="NormalTok"/>
    <w:basedOn w:val="47"/>
    <w:qFormat/>
    <w:uiPriority w:val="0"/>
    <w:rPr>
      <w:rFonts w:ascii="Consolas" w:hAnsi="Consolas"/>
      <w:sz w:val="22"/>
    </w:rPr>
  </w:style>
  <w:style w:type="character" w:customStyle="1" w:styleId="81">
    <w:name w:val="页眉 字符"/>
    <w:basedOn w:val="31"/>
    <w:link w:val="21"/>
    <w:qFormat/>
    <w:uiPriority w:val="99"/>
    <w:rPr>
      <w:kern w:val="2"/>
      <w:sz w:val="18"/>
      <w:szCs w:val="18"/>
      <w:lang w:val="en-US" w:eastAsia="zh-CN"/>
    </w:rPr>
  </w:style>
  <w:style w:type="character" w:customStyle="1" w:styleId="82">
    <w:name w:val="页脚 字符"/>
    <w:basedOn w:val="31"/>
    <w:link w:val="20"/>
    <w:qFormat/>
    <w:uiPriority w:val="0"/>
    <w:rPr>
      <w:rFonts w:ascii="仿宋" w:hAnsi="仿宋" w:eastAsia="仿宋"/>
      <w:sz w:val="18"/>
      <w:szCs w:val="18"/>
    </w:rPr>
  </w:style>
  <w:style w:type="character" w:customStyle="1" w:styleId="83">
    <w:name w:val="批注框文本 字符"/>
    <w:basedOn w:val="31"/>
    <w:link w:val="19"/>
    <w:semiHidden/>
    <w:qFormat/>
    <w:uiPriority w:val="0"/>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544A4-ED29-4189-8309-474C181CE4C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Words>
  <Characters>2411</Characters>
  <Lines>20</Lines>
  <Paragraphs>5</Paragraphs>
  <TotalTime>2</TotalTime>
  <ScaleCrop>false</ScaleCrop>
  <LinksUpToDate>false</LinksUpToDate>
  <CharactersWithSpaces>2828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2021-05-11T03:33:00Z</dcterms:created>
  <dc:creator>成長style</dc:creator>
  <dc:description>百度文库</dc:description>
  <cp:lastModifiedBy>陆龙</cp:lastModifiedBy>
  <cp:lastPrinted>2021-07-19T01:06:00Z</cp:lastPrinted>
  <dcterms:modified xsi:type="dcterms:W3CDTF">2021-08-11T01:11:12Z</dcterms:modified>
  <dc:title>政府采购代理机构服务采购竞争性谈判招标文件 - 百度文库</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e-mobile-web-app-capable">
    <vt:lpwstr>yes</vt:lpwstr>
  </property>
  <property fmtid="{D5CDD505-2E9C-101B-9397-08002B2CF9AE}" pid="3" name="apple-mobile-web-app-status-bar-style">
    <vt:lpwstr>black</vt:lpwstr>
  </property>
  <property fmtid="{D5CDD505-2E9C-101B-9397-08002B2CF9AE}" pid="4" name="format-detection">
    <vt:lpwstr/>
  </property>
  <property fmtid="{D5CDD505-2E9C-101B-9397-08002B2CF9AE}" pid="5" name="referrer">
    <vt:lpwstr>never</vt:lpwstr>
  </property>
  <property fmtid="{D5CDD505-2E9C-101B-9397-08002B2CF9AE}" pid="6" name="viewport">
    <vt:lpwstr>width=device-width,minimum-scale=1.0,maximum-scale=1.0,user-scalable=no,viewport-fit=cover</vt:lpwstr>
  </property>
  <property fmtid="{D5CDD505-2E9C-101B-9397-08002B2CF9AE}" pid="7" name="KSOProductBuildVer">
    <vt:lpwstr>2052-11.1.0.10700</vt:lpwstr>
  </property>
  <property fmtid="{D5CDD505-2E9C-101B-9397-08002B2CF9AE}" pid="8" name="ICV">
    <vt:lpwstr>BF0B750098BD4ABAB4C5B63801E6B0C5</vt:lpwstr>
  </property>
</Properties>
</file>